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项目名称：</w:t>
      </w:r>
      <w:r>
        <w:rPr>
          <w:rFonts w:hint="default" w:ascii="Times New Roman" w:hAnsi="Times New Roman" w:cs="Times New Roman" w:eastAsiaTheme="minorEastAsia"/>
          <w:sz w:val="28"/>
          <w:szCs w:val="28"/>
        </w:rPr>
        <w:t>白云区古树名木及古树后续资源管养服务项目劳务服务采购</w:t>
      </w:r>
    </w:p>
    <w:p w14:paraId="75070BFE">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二、采购预算：</w:t>
      </w:r>
      <w:r>
        <w:rPr>
          <w:rFonts w:hint="default" w:ascii="Times New Roman" w:hAnsi="Times New Roman" w:cs="Times New Roman" w:eastAsiaTheme="minorEastAsia"/>
          <w:sz w:val="28"/>
          <w:szCs w:val="28"/>
        </w:rPr>
        <w:t>本项目采购预算为人民币</w:t>
      </w:r>
      <w:r>
        <w:rPr>
          <w:rFonts w:hint="default" w:ascii="Times New Roman" w:hAnsi="Times New Roman" w:cs="Times New Roman" w:eastAsiaTheme="minorEastAsia"/>
          <w:sz w:val="28"/>
          <w:szCs w:val="28"/>
          <w:lang w:val="en-US" w:eastAsia="zh-CN"/>
        </w:rPr>
        <w:t>6300</w:t>
      </w:r>
      <w:r>
        <w:rPr>
          <w:rFonts w:hint="default" w:ascii="Times New Roman" w:hAnsi="Times New Roman" w:cs="Times New Roman" w:eastAsiaTheme="minorEastAsia"/>
          <w:sz w:val="28"/>
          <w:szCs w:val="28"/>
        </w:rPr>
        <w:t>00</w:t>
      </w:r>
      <w:r>
        <w:rPr>
          <w:rFonts w:hint="default" w:ascii="Times New Roman" w:hAnsi="Times New Roman" w:cs="Times New Roman" w:eastAsiaTheme="minorEastAsia"/>
          <w:sz w:val="28"/>
          <w:szCs w:val="28"/>
          <w:lang w:val="en-US" w:eastAsia="zh-CN"/>
        </w:rPr>
        <w:t>.00</w:t>
      </w:r>
      <w:r>
        <w:rPr>
          <w:rFonts w:hint="default" w:ascii="Times New Roman" w:hAnsi="Times New Roman" w:cs="Times New Roman" w:eastAsia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服务内容：白云区古树名木及古树后续资源管养服务项目</w:t>
      </w:r>
      <w:r>
        <w:rPr>
          <w:rFonts w:hint="default" w:ascii="Times New Roman" w:hAnsi="Times New Roman" w:cs="Times New Roman" w:eastAsiaTheme="minorEastAsia"/>
          <w:sz w:val="28"/>
          <w:szCs w:val="28"/>
          <w:lang w:val="en-US" w:eastAsia="zh-CN"/>
        </w:rPr>
        <w:t>的古树名木及后续资源养护复壮等劳务服务工作。</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服务清单：</w:t>
      </w:r>
    </w:p>
    <w:tbl>
      <w:tblPr>
        <w:tblStyle w:val="20"/>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614"/>
        <w:gridCol w:w="1954"/>
        <w:gridCol w:w="2399"/>
        <w:gridCol w:w="1745"/>
      </w:tblGrid>
      <w:tr w14:paraId="5BE4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 w:type="dxa"/>
            <w:vAlign w:val="center"/>
          </w:tcPr>
          <w:p w14:paraId="17BA2D51">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序号</w:t>
            </w:r>
          </w:p>
        </w:tc>
        <w:tc>
          <w:tcPr>
            <w:tcW w:w="1614" w:type="dxa"/>
            <w:shd w:val="clear" w:color="auto" w:fill="auto"/>
            <w:vAlign w:val="center"/>
          </w:tcPr>
          <w:p w14:paraId="43FDF437">
            <w:pPr>
              <w:widowControl w:val="0"/>
              <w:spacing w:line="520" w:lineRule="exact"/>
              <w:ind w:left="0" w:leftChars="0" w:firstLine="0" w:firstLineChars="0"/>
              <w:jc w:val="center"/>
              <w:rPr>
                <w:rFonts w:hint="default" w:ascii="Times New Roman" w:hAnsi="Times New Roman" w:cs="Times New Roman" w:eastAsiaTheme="minorEastAsia"/>
                <w:kern w:val="2"/>
                <w:sz w:val="28"/>
                <w:szCs w:val="28"/>
                <w:vertAlign w:val="baseline"/>
                <w:lang w:val="en-US" w:eastAsia="zh-CN" w:bidi="ar-SA"/>
              </w:rPr>
            </w:pPr>
            <w:r>
              <w:rPr>
                <w:rFonts w:hint="default" w:ascii="Times New Roman" w:hAnsi="Times New Roman" w:cs="Times New Roman" w:eastAsiaTheme="minorEastAsia"/>
                <w:sz w:val="28"/>
                <w:szCs w:val="28"/>
                <w:vertAlign w:val="baseline"/>
                <w:lang w:val="en-US" w:eastAsia="zh-CN"/>
              </w:rPr>
              <w:t>工种</w:t>
            </w:r>
          </w:p>
        </w:tc>
        <w:tc>
          <w:tcPr>
            <w:tcW w:w="1954" w:type="dxa"/>
            <w:vAlign w:val="center"/>
          </w:tcPr>
          <w:p w14:paraId="2CB8648E">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暂定服务数量（工日）</w:t>
            </w:r>
          </w:p>
        </w:tc>
        <w:tc>
          <w:tcPr>
            <w:tcW w:w="2399" w:type="dxa"/>
            <w:vAlign w:val="center"/>
          </w:tcPr>
          <w:p w14:paraId="6E3AA22F">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服务综合单价限价（元）</w:t>
            </w:r>
          </w:p>
        </w:tc>
        <w:tc>
          <w:tcPr>
            <w:tcW w:w="1745" w:type="dxa"/>
            <w:vAlign w:val="center"/>
          </w:tcPr>
          <w:p w14:paraId="3E3D4964">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合价（元）</w:t>
            </w:r>
          </w:p>
        </w:tc>
      </w:tr>
      <w:tr w14:paraId="21F2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69A451CA">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p>
        </w:tc>
        <w:tc>
          <w:tcPr>
            <w:tcW w:w="1614" w:type="dxa"/>
            <w:shd w:val="clear" w:color="auto" w:fill="auto"/>
            <w:vAlign w:val="center"/>
          </w:tcPr>
          <w:p w14:paraId="72807375">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kern w:val="0"/>
                <w:sz w:val="28"/>
                <w:szCs w:val="28"/>
                <w:vertAlign w:val="baseline"/>
                <w:lang w:val="en-US" w:eastAsia="zh-CN" w:bidi="ar-SA"/>
              </w:rPr>
            </w:pPr>
            <w:r>
              <w:rPr>
                <w:rFonts w:hint="default" w:ascii="Times New Roman" w:hAnsi="Times New Roman" w:cs="Times New Roman" w:eastAsiaTheme="minorEastAsia"/>
                <w:sz w:val="28"/>
                <w:szCs w:val="28"/>
                <w:vertAlign w:val="baseline"/>
                <w:lang w:val="en-US" w:eastAsia="zh-CN"/>
              </w:rPr>
              <w:t>绿化工</w:t>
            </w:r>
          </w:p>
        </w:tc>
        <w:tc>
          <w:tcPr>
            <w:tcW w:w="1954" w:type="dxa"/>
            <w:vAlign w:val="center"/>
          </w:tcPr>
          <w:p w14:paraId="2A51341E">
            <w:pPr>
              <w:widowControl w:val="0"/>
              <w:spacing w:line="52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2275</w:t>
            </w:r>
          </w:p>
        </w:tc>
        <w:tc>
          <w:tcPr>
            <w:tcW w:w="2399" w:type="dxa"/>
            <w:vAlign w:val="center"/>
          </w:tcPr>
          <w:p w14:paraId="3AC62002">
            <w:pPr>
              <w:widowControl w:val="0"/>
              <w:spacing w:line="52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260</w:t>
            </w:r>
          </w:p>
        </w:tc>
        <w:tc>
          <w:tcPr>
            <w:tcW w:w="1745" w:type="dxa"/>
            <w:vAlign w:val="center"/>
          </w:tcPr>
          <w:p w14:paraId="184E1476">
            <w:pPr>
              <w:widowControl w:val="0"/>
              <w:spacing w:line="52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591500</w:t>
            </w:r>
          </w:p>
        </w:tc>
      </w:tr>
      <w:tr w14:paraId="749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7A1D8D31">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w:t>
            </w:r>
          </w:p>
        </w:tc>
        <w:tc>
          <w:tcPr>
            <w:tcW w:w="1614" w:type="dxa"/>
            <w:shd w:val="clear" w:color="auto" w:fill="auto"/>
            <w:vAlign w:val="center"/>
          </w:tcPr>
          <w:p w14:paraId="0A4C4B19">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技术工</w:t>
            </w:r>
          </w:p>
        </w:tc>
        <w:tc>
          <w:tcPr>
            <w:tcW w:w="1954" w:type="dxa"/>
            <w:vAlign w:val="center"/>
          </w:tcPr>
          <w:p w14:paraId="33DB8D83">
            <w:pPr>
              <w:widowControl w:val="0"/>
              <w:spacing w:line="52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110</w:t>
            </w:r>
          </w:p>
        </w:tc>
        <w:tc>
          <w:tcPr>
            <w:tcW w:w="2399" w:type="dxa"/>
            <w:vAlign w:val="center"/>
          </w:tcPr>
          <w:p w14:paraId="15979756">
            <w:pPr>
              <w:widowControl w:val="0"/>
              <w:spacing w:line="520" w:lineRule="exact"/>
              <w:ind w:left="0" w:leftChars="0" w:firstLine="0" w:firstLineChars="0"/>
              <w:jc w:val="center"/>
              <w:rPr>
                <w:rFonts w:hint="default" w:ascii="Times New Roman" w:hAnsi="Times New Roman" w:cs="Times New Roman" w:eastAsiaTheme="minorEastAsia"/>
                <w:i w:val="0"/>
                <w:iCs w:val="0"/>
                <w:color w:val="auto"/>
                <w:kern w:val="2"/>
                <w:sz w:val="28"/>
                <w:szCs w:val="28"/>
                <w:u w:val="none"/>
                <w:lang w:val="en-US" w:eastAsia="zh-CN" w:bidi="ar"/>
              </w:rPr>
            </w:pPr>
            <w:r>
              <w:rPr>
                <w:rFonts w:hint="default" w:ascii="Times New Roman" w:hAnsi="Times New Roman" w:cs="Times New Roman" w:eastAsiaTheme="minorEastAsia"/>
                <w:sz w:val="28"/>
                <w:szCs w:val="28"/>
                <w:vertAlign w:val="baseline"/>
                <w:lang w:val="en-US" w:eastAsia="zh-CN"/>
              </w:rPr>
              <w:t>350</w:t>
            </w:r>
          </w:p>
        </w:tc>
        <w:tc>
          <w:tcPr>
            <w:tcW w:w="1745" w:type="dxa"/>
            <w:vAlign w:val="center"/>
          </w:tcPr>
          <w:p w14:paraId="510F7362">
            <w:pPr>
              <w:widowControl w:val="0"/>
              <w:spacing w:line="520" w:lineRule="exact"/>
              <w:ind w:left="0" w:leftChars="0" w:firstLine="0" w:firstLineChars="0"/>
              <w:jc w:val="center"/>
              <w:rPr>
                <w:rFonts w:hint="default" w:ascii="Times New Roman" w:hAnsi="Times New Roman" w:cs="Times New Roman" w:eastAsiaTheme="minorEastAsia"/>
                <w:i w:val="0"/>
                <w:iCs w:val="0"/>
                <w:color w:val="auto"/>
                <w:kern w:val="2"/>
                <w:sz w:val="28"/>
                <w:szCs w:val="28"/>
                <w:u w:val="none"/>
                <w:lang w:val="en-US" w:eastAsia="zh-CN" w:bidi="ar"/>
              </w:rPr>
            </w:pPr>
            <w:r>
              <w:rPr>
                <w:rFonts w:hint="default" w:ascii="Times New Roman" w:hAnsi="Times New Roman" w:cs="Times New Roman" w:eastAsiaTheme="minorEastAsia"/>
                <w:sz w:val="28"/>
                <w:szCs w:val="28"/>
                <w:vertAlign w:val="baseline"/>
                <w:lang w:val="en-US" w:eastAsia="zh-CN"/>
              </w:rPr>
              <w:t>38500</w:t>
            </w:r>
          </w:p>
        </w:tc>
      </w:tr>
    </w:tbl>
    <w:p w14:paraId="7018492D">
      <w:pPr>
        <w:pageBreakBefore w:val="0"/>
        <w:widowControl/>
        <w:numPr>
          <w:ilvl w:val="0"/>
          <w:numId w:val="0"/>
        </w:numPr>
        <w:kinsoku/>
        <w:wordWrap/>
        <w:overflowPunct/>
        <w:topLinePunct w:val="0"/>
        <w:bidi w:val="0"/>
        <w:snapToGrid/>
        <w:spacing w:line="240" w:lineRule="auto"/>
        <w:ind w:firstLine="482" w:firstLineChars="200"/>
        <w:textAlignment w:val="auto"/>
        <w:rPr>
          <w:rFonts w:hint="default" w:ascii="Times New Roman" w:hAnsi="Times New Roman" w:cs="Times New Roman"/>
          <w:b/>
          <w:bCs/>
          <w:color w:val="000000" w:themeColor="text1"/>
          <w:sz w:val="24"/>
          <w:szCs w:val="24"/>
          <w:highlight w:val="none"/>
          <w14:textFill>
            <w14:solidFill>
              <w14:schemeClr w14:val="tx1"/>
            </w14:solidFill>
          </w14:textFill>
        </w:rPr>
      </w:pPr>
    </w:p>
    <w:p w14:paraId="25CE2A90">
      <w:pPr>
        <w:pageBreakBefore w:val="0"/>
        <w:widowControl/>
        <w:numPr>
          <w:ilvl w:val="0"/>
          <w:numId w:val="0"/>
        </w:numPr>
        <w:kinsoku/>
        <w:wordWrap/>
        <w:overflowPunct/>
        <w:topLinePunct w:val="0"/>
        <w:bidi w:val="0"/>
        <w:snapToGrid/>
        <w:spacing w:line="240" w:lineRule="auto"/>
        <w:ind w:firstLine="482"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供应商须按照《采购需求》的项目服务清单内容进行报价，技术服务费+管理服务费单价报价及总价报价不得超过其相应最高限价，响应时须提供已标价的《项目服务清单》作为签订合同后支付及结算的依据。</w:t>
      </w:r>
    </w:p>
    <w:p w14:paraId="497D879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eastAsia="黑体" w:cs="Times New Roman"/>
          <w:sz w:val="28"/>
          <w:szCs w:val="28"/>
          <w:lang w:val="en-US" w:eastAsia="zh-CN"/>
        </w:rPr>
        <w:t>四、商务</w:t>
      </w:r>
    </w:p>
    <w:p w14:paraId="7C692BF0">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color w:val="auto"/>
          <w:kern w:val="0"/>
          <w:sz w:val="28"/>
          <w:szCs w:val="28"/>
          <w:highlight w:val="none"/>
          <w:lang w:eastAsia="zh-CN"/>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服务要求：</w:t>
      </w:r>
    </w:p>
    <w:p w14:paraId="0241EDED">
      <w:pPr>
        <w:widowControl w:val="0"/>
        <w:spacing w:line="520" w:lineRule="exact"/>
        <w:ind w:firstLine="560" w:firstLineChars="200"/>
        <w:jc w:val="both"/>
        <w:rPr>
          <w:rFonts w:hint="default" w:ascii="Times New Roman" w:hAnsi="Times New Roman" w:cs="Times New Roman" w:eastAsiaTheme="minorEastAsia"/>
          <w:color w:val="auto"/>
          <w:kern w:val="2"/>
          <w:sz w:val="28"/>
          <w:szCs w:val="28"/>
          <w:highlight w:val="none"/>
          <w:lang w:eastAsia="zh-CN"/>
        </w:rPr>
      </w:pP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1</w:t>
      </w: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bidi="ar-SA"/>
        </w:rPr>
        <w:t>供应商要严格遵守《中华人民共和国民法典</w:t>
      </w:r>
      <w:r>
        <w:rPr>
          <w:rFonts w:hint="eastAsia" w:ascii="Times New Roman" w:hAnsi="Times New Roman" w:cs="Times New Roman" w:eastAsiaTheme="minorEastAsia"/>
          <w:color w:val="auto"/>
          <w:kern w:val="2"/>
          <w:sz w:val="28"/>
          <w:szCs w:val="28"/>
          <w:highlight w:val="none"/>
          <w:lang w:val="en-US" w:eastAsia="zh-CN" w:bidi="ar-SA"/>
        </w:rPr>
        <w:t>》《</w:t>
      </w:r>
      <w:r>
        <w:rPr>
          <w:rFonts w:hint="default" w:ascii="Times New Roman" w:hAnsi="Times New Roman" w:cs="Times New Roman" w:eastAsiaTheme="minorEastAsia"/>
          <w:color w:val="auto"/>
          <w:kern w:val="2"/>
          <w:sz w:val="28"/>
          <w:szCs w:val="28"/>
          <w:highlight w:val="none"/>
          <w:lang w:val="en-US" w:eastAsia="zh-CN" w:bidi="ar-SA"/>
        </w:rPr>
        <w:t>中华人民共和国劳动合同法</w:t>
      </w:r>
      <w:r>
        <w:rPr>
          <w:rFonts w:hint="eastAsia" w:ascii="Times New Roman" w:hAnsi="Times New Roman" w:cs="Times New Roman" w:eastAsiaTheme="minorEastAsia"/>
          <w:color w:val="auto"/>
          <w:kern w:val="2"/>
          <w:sz w:val="28"/>
          <w:szCs w:val="28"/>
          <w:highlight w:val="none"/>
          <w:lang w:val="en-US" w:eastAsia="zh-CN" w:bidi="ar-SA"/>
        </w:rPr>
        <w:t>》《</w:t>
      </w:r>
      <w:r>
        <w:rPr>
          <w:rFonts w:hint="default" w:ascii="Times New Roman" w:hAnsi="Times New Roman" w:cs="Times New Roman" w:eastAsiaTheme="minorEastAsia"/>
          <w:color w:val="auto"/>
          <w:kern w:val="2"/>
          <w:sz w:val="28"/>
          <w:szCs w:val="28"/>
          <w:highlight w:val="none"/>
          <w:lang w:val="en-US" w:eastAsia="zh-CN" w:bidi="ar-SA"/>
        </w:rPr>
        <w:t>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color w:val="auto"/>
          <w:kern w:val="2"/>
          <w:sz w:val="28"/>
          <w:szCs w:val="28"/>
          <w:highlight w:val="none"/>
          <w:lang w:eastAsia="zh-CN"/>
        </w:rPr>
      </w:pPr>
      <w:r>
        <w:rPr>
          <w:rFonts w:hint="default" w:ascii="Times New Roman" w:hAnsi="Times New Roman" w:cs="Times New Roman" w:eastAsiaTheme="minorEastAsia"/>
          <w:color w:val="auto"/>
          <w:kern w:val="2"/>
          <w:sz w:val="28"/>
          <w:szCs w:val="28"/>
          <w:highlight w:val="none"/>
          <w:lang w:val="en-US" w:eastAsia="zh-CN"/>
        </w:rPr>
        <w:t>（2）</w:t>
      </w:r>
      <w:r>
        <w:rPr>
          <w:rFonts w:hint="default" w:ascii="Times New Roman" w:hAnsi="Times New Roman" w:cs="Times New Roman" w:eastAsiaTheme="minorEastAsia"/>
          <w:color w:val="auto"/>
          <w:kern w:val="2"/>
          <w:sz w:val="28"/>
          <w:szCs w:val="28"/>
          <w:highlight w:val="none"/>
          <w:lang w:eastAsia="zh-CN"/>
        </w:rPr>
        <w:t>供应商应做好服务人员用工管理，主要包括：日常管理（业务管理、档案管理、安全管理、用工管理和培训教育）。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trike w:val="0"/>
          <w:sz w:val="28"/>
          <w:szCs w:val="28"/>
          <w:highlight w:val="none"/>
          <w:lang w:val="en-US" w:eastAsia="zh-CN"/>
        </w:rPr>
      </w:pP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3</w:t>
      </w: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根据采购人要求提供古树名木及后续资源养护复壮</w:t>
      </w:r>
      <w:r>
        <w:rPr>
          <w:rFonts w:hint="default" w:ascii="Times New Roman" w:hAnsi="Times New Roman" w:cs="Times New Roman" w:eastAsiaTheme="minorEastAsia"/>
          <w:sz w:val="28"/>
          <w:szCs w:val="28"/>
          <w:highlight w:val="none"/>
          <w:lang w:val="en-US" w:eastAsia="zh-CN"/>
        </w:rPr>
        <w:t>等</w:t>
      </w:r>
      <w:r>
        <w:rPr>
          <w:rFonts w:hint="default" w:ascii="Times New Roman" w:hAnsi="Times New Roman" w:cs="Times New Roman" w:eastAsiaTheme="minorEastAsia"/>
          <w:strike w:val="0"/>
          <w:color w:val="auto"/>
          <w:kern w:val="2"/>
          <w:sz w:val="28"/>
          <w:szCs w:val="28"/>
          <w:highlight w:val="none"/>
          <w:lang w:val="en-US" w:eastAsia="zh-CN"/>
        </w:rPr>
        <w:t>临时性工作劳务服务。</w:t>
      </w:r>
    </w:p>
    <w:p w14:paraId="0CB8DFD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服务标准：</w:t>
      </w:r>
      <w:r>
        <w:rPr>
          <w:rFonts w:hint="default" w:ascii="Times New Roman" w:hAnsi="Times New Roman" w:cs="Times New Roman"/>
          <w:bCs/>
          <w:color w:val="000000"/>
          <w:kern w:val="0"/>
          <w:sz w:val="28"/>
          <w:szCs w:val="28"/>
          <w:highlight w:val="none"/>
        </w:rPr>
        <w:t>按照要求提供</w:t>
      </w:r>
      <w:r>
        <w:rPr>
          <w:rFonts w:hint="default" w:ascii="Times New Roman" w:hAnsi="Times New Roman" w:cs="Times New Roman"/>
          <w:bCs/>
          <w:color w:val="000000"/>
          <w:kern w:val="0"/>
          <w:sz w:val="28"/>
          <w:szCs w:val="28"/>
          <w:highlight w:val="none"/>
          <w:lang w:val="en-US" w:eastAsia="zh-CN"/>
        </w:rPr>
        <w:t>符合要求的作业人员到指定地点工作</w:t>
      </w:r>
      <w:r>
        <w:rPr>
          <w:rFonts w:hint="default" w:ascii="Times New Roman" w:hAnsi="Times New Roman" w:cs="Times New Roman"/>
          <w:bCs/>
          <w:color w:val="000000"/>
          <w:kern w:val="0"/>
          <w:sz w:val="28"/>
          <w:szCs w:val="28"/>
          <w:highlight w:val="none"/>
        </w:rPr>
        <w:t>，且项目</w:t>
      </w:r>
      <w:r>
        <w:rPr>
          <w:rFonts w:hint="default" w:ascii="Times New Roman" w:hAnsi="Times New Roman" w:cs="Times New Roman"/>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highlight w:val="green"/>
        </w:rPr>
      </w:pP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服务期限：服务合同期</w:t>
      </w:r>
      <w:r>
        <w:rPr>
          <w:rFonts w:hint="default" w:ascii="Times New Roman" w:hAnsi="Times New Roman" w:cs="Times New Roman" w:eastAsiaTheme="minorEastAsia"/>
          <w:sz w:val="28"/>
          <w:szCs w:val="28"/>
          <w:highlight w:val="none"/>
        </w:rPr>
        <w:t>自合同签订之日起</w:t>
      </w:r>
      <w:r>
        <w:rPr>
          <w:rFonts w:hint="default" w:ascii="Times New Roman" w:hAnsi="Times New Roman" w:cs="Times New Roman" w:eastAsiaTheme="minorEastAsia"/>
          <w:sz w:val="28"/>
          <w:szCs w:val="28"/>
          <w:highlight w:val="none"/>
          <w:lang w:val="en-US" w:eastAsia="zh-CN"/>
        </w:rPr>
        <w:t>至2026年8月18日。</w:t>
      </w:r>
    </w:p>
    <w:p w14:paraId="6D194C0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服务人员配备：</w:t>
      </w:r>
      <w:r>
        <w:rPr>
          <w:rFonts w:hint="default" w:ascii="Times New Roman" w:hAnsi="Times New Roman" w:cs="Times New Roman" w:eastAsiaTheme="minorEastAsia"/>
          <w:sz w:val="28"/>
          <w:szCs w:val="28"/>
          <w:lang w:val="en-US" w:eastAsia="zh-CN"/>
        </w:rPr>
        <w:t>供应商需配备不少于</w:t>
      </w:r>
      <w:r>
        <w:rPr>
          <w:rFonts w:hint="default" w:ascii="Times New Roman" w:hAnsi="Times New Roman" w:cs="Times New Roman" w:eastAsiaTheme="minorEastAsia"/>
          <w:sz w:val="28"/>
          <w:szCs w:val="28"/>
          <w:highlight w:val="none"/>
          <w:lang w:val="en-US" w:eastAsia="zh-CN"/>
        </w:rPr>
        <w:t>10名</w:t>
      </w:r>
      <w:r>
        <w:rPr>
          <w:rFonts w:hint="default" w:ascii="Times New Roman" w:hAnsi="Times New Roman" w:cs="Times New Roman" w:eastAsiaTheme="minorEastAsia"/>
          <w:sz w:val="28"/>
          <w:szCs w:val="28"/>
          <w:lang w:val="en-US" w:eastAsia="zh-CN"/>
        </w:rPr>
        <w:t>专业人员。绿化工应具有林业或园林行业专业服务技能；技术工包含电焊工、高空作业工等技术工种，要求持证上岗；要求</w:t>
      </w:r>
      <w:r>
        <w:rPr>
          <w:rFonts w:hint="default" w:ascii="Times New Roman" w:hAnsi="Times New Roman" w:cs="Times New Roman" w:eastAsiaTheme="minorEastAsia"/>
          <w:sz w:val="28"/>
          <w:szCs w:val="28"/>
        </w:rPr>
        <w:t>能较好地执行</w:t>
      </w:r>
      <w:r>
        <w:rPr>
          <w:rFonts w:hint="default" w:ascii="Times New Roman" w:hAnsi="Times New Roman" w:cs="Times New Roman" w:eastAsiaTheme="minorEastAsia"/>
          <w:sz w:val="28"/>
          <w:szCs w:val="28"/>
          <w:lang w:val="en-US" w:eastAsia="zh-CN"/>
        </w:rPr>
        <w:t>采购人现场安排的劳务服务</w:t>
      </w:r>
      <w:r>
        <w:rPr>
          <w:rFonts w:hint="default" w:ascii="Times New Roman" w:hAnsi="Times New Roman" w:cs="Times New Roman" w:eastAsiaTheme="minorEastAsia"/>
          <w:sz w:val="28"/>
          <w:szCs w:val="28"/>
        </w:rPr>
        <w:t>工作，确保</w:t>
      </w:r>
      <w:r>
        <w:rPr>
          <w:rFonts w:hint="default" w:ascii="Times New Roman" w:hAnsi="Times New Roman" w:cs="Times New Roman" w:eastAsiaTheme="minorEastAsia"/>
          <w:sz w:val="28"/>
          <w:szCs w:val="28"/>
          <w:lang w:val="en-US" w:eastAsia="zh-CN"/>
        </w:rPr>
        <w:t>采购人现场作业</w:t>
      </w:r>
      <w:r>
        <w:rPr>
          <w:rFonts w:hint="default" w:ascii="Times New Roman" w:hAnsi="Times New Roman" w:cs="Times New Roman" w:eastAsiaTheme="minorEastAsia"/>
          <w:sz w:val="28"/>
          <w:szCs w:val="28"/>
        </w:rPr>
        <w:t>质量。项目服务期间须</w:t>
      </w:r>
      <w:r>
        <w:rPr>
          <w:rFonts w:hint="default" w:ascii="Times New Roman" w:hAnsi="Times New Roman" w:cs="Times New Roman" w:eastAsiaTheme="minorEastAsia"/>
          <w:sz w:val="28"/>
          <w:szCs w:val="28"/>
          <w:lang w:val="en-US" w:eastAsia="zh-CN"/>
        </w:rPr>
        <w:t>按采购人计划安排到场人员</w:t>
      </w:r>
      <w:r>
        <w:rPr>
          <w:rFonts w:hint="default" w:ascii="Times New Roman" w:hAnsi="Times New Roman" w:cs="Times New Roman" w:eastAsiaTheme="minorEastAsia"/>
          <w:sz w:val="28"/>
          <w:szCs w:val="28"/>
        </w:rPr>
        <w:t>。</w:t>
      </w:r>
    </w:p>
    <w:p w14:paraId="74BA4B69">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交付时间与地点：</w:t>
      </w:r>
    </w:p>
    <w:p w14:paraId="3D3508CA">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sz w:val="28"/>
          <w:szCs w:val="28"/>
          <w:highlight w:val="none"/>
          <w:u w:val="none"/>
        </w:rPr>
      </w:pPr>
      <w:r>
        <w:rPr>
          <w:rFonts w:hint="default" w:ascii="Times New Roman" w:hAnsi="Times New Roman" w:cs="Times New Roman" w:eastAsiaTheme="minorEastAsia"/>
          <w:sz w:val="28"/>
          <w:szCs w:val="28"/>
          <w:highlight w:val="none"/>
        </w:rPr>
        <w:t>交付时间：</w:t>
      </w:r>
      <w:r>
        <w:rPr>
          <w:rFonts w:hint="default" w:ascii="Times New Roman" w:hAnsi="Times New Roman" w:cs="Times New Roman" w:eastAsiaTheme="minorEastAsia"/>
          <w:sz w:val="28"/>
          <w:szCs w:val="28"/>
          <w:highlight w:val="none"/>
          <w:u w:val="none"/>
          <w:lang w:val="en-US" w:eastAsia="zh-CN"/>
        </w:rPr>
        <w:t>2025年</w:t>
      </w:r>
      <w:r>
        <w:rPr>
          <w:rFonts w:hint="default" w:ascii="Times New Roman" w:hAnsi="Times New Roman" w:cs="Times New Roman" w:eastAsiaTheme="minorEastAsia"/>
          <w:sz w:val="28"/>
          <w:szCs w:val="28"/>
          <w:highlight w:val="yellow"/>
          <w:u w:val="none"/>
          <w:lang w:val="en-US" w:eastAsia="zh-CN"/>
        </w:rPr>
        <w:t>12月</w:t>
      </w:r>
      <w:r>
        <w:rPr>
          <w:rFonts w:hint="eastAsia" w:ascii="Times New Roman" w:hAnsi="Times New Roman" w:cs="Times New Roman" w:eastAsiaTheme="minorEastAsia"/>
          <w:sz w:val="28"/>
          <w:szCs w:val="28"/>
          <w:highlight w:val="yellow"/>
          <w:u w:val="none"/>
          <w:lang w:val="en-US" w:eastAsia="zh-CN"/>
        </w:rPr>
        <w:t>31</w:t>
      </w:r>
      <w:bookmarkStart w:id="0" w:name="_GoBack"/>
      <w:bookmarkEnd w:id="0"/>
      <w:r>
        <w:rPr>
          <w:rFonts w:hint="default" w:ascii="Times New Roman" w:hAnsi="Times New Roman" w:cs="Times New Roman" w:eastAsiaTheme="minorEastAsia"/>
          <w:sz w:val="28"/>
          <w:szCs w:val="28"/>
          <w:highlight w:val="yellow"/>
          <w:u w:val="none"/>
          <w:lang w:val="en-US" w:eastAsia="zh-CN"/>
        </w:rPr>
        <w:t>日</w:t>
      </w:r>
      <w:r>
        <w:rPr>
          <w:rFonts w:hint="default" w:ascii="Times New Roman" w:hAnsi="Times New Roman" w:cs="Times New Roman" w:eastAsiaTheme="minorEastAsia"/>
          <w:sz w:val="28"/>
          <w:szCs w:val="28"/>
          <w:highlight w:val="none"/>
          <w:u w:val="none"/>
          <w:lang w:val="en-US" w:eastAsia="zh-CN"/>
        </w:rPr>
        <w:t>18点</w:t>
      </w:r>
      <w:r>
        <w:rPr>
          <w:rFonts w:hint="default" w:ascii="Times New Roman" w:hAnsi="Times New Roman" w:cs="Times New Roman"/>
          <w:sz w:val="28"/>
          <w:szCs w:val="28"/>
          <w:highlight w:val="none"/>
          <w:u w:val="none"/>
          <w:lang w:val="en-US" w:eastAsia="zh-CN"/>
        </w:rPr>
        <w:t>00</w:t>
      </w:r>
      <w:r>
        <w:rPr>
          <w:rFonts w:hint="default" w:ascii="Times New Roman" w:hAnsi="Times New Roman" w:cs="Times New Roman"/>
          <w:sz w:val="28"/>
          <w:szCs w:val="28"/>
          <w:highlight w:val="none"/>
          <w:u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交付地点：</w:t>
      </w:r>
      <w:r>
        <w:rPr>
          <w:rFonts w:hint="default" w:ascii="Times New Roman" w:hAnsi="Times New Roman" w:cs="Times New Roman"/>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lang w:val="en-US" w:eastAsia="zh-CN"/>
        </w:rPr>
        <w:t>（1）劳务进度款按月支付，进度款金额为上月完成劳务作业量所对应劳务费用的100%</w:t>
      </w:r>
      <w:r>
        <w:rPr>
          <w:rFonts w:hint="default" w:ascii="Times New Roman" w:hAnsi="Times New Roman"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，若采购人对</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提交的书面资料有异议，应在答复中说明，</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需在7日内补充材料或予以更正。采购人收到书面资料逾期不答复的，视为同意</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提交的结算资料之日起14日内审核确认并书面答复</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，若采购人对</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提交的书面资料有异议，应在答复中说明，</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需在7日内补充材料或予以</w:t>
      </w:r>
      <w:r>
        <w:rPr>
          <w:rFonts w:hint="default" w:ascii="Times New Roman" w:hAnsi="Times New Roman" w:cs="Times New Roman" w:eastAsia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val="en-US" w:eastAsia="zh-CN"/>
        </w:rPr>
        <w:t>经审定的结算总金额因实际情况超出合同约定金额的</w:t>
      </w:r>
      <w:r>
        <w:rPr>
          <w:rFonts w:hint="eastAsia"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lang w:val="en-US" w:eastAsia="zh-CN"/>
        </w:rPr>
        <w:t>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采购人收到供应商项目验收申请之日起7日内，由采购人组织供应商现场核实验收，验收应按照合同的约定对养护复壮劳务服务情况进行验收。验收合格后双方签订验收确认单。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售后服务：​</w:t>
      </w:r>
    </w:p>
    <w:p w14:paraId="3E66134D">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eastAsiaTheme="minorEastAsia"/>
          <w:sz w:val="28"/>
          <w:szCs w:val="28"/>
        </w:rPr>
        <w:t>服务期内，供应商应根据采购人的反馈及时调整服务方案，不断提升服务质量。</w:t>
      </w: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22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E22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04B75"/>
    <w:rsid w:val="010E0584"/>
    <w:rsid w:val="01383AF3"/>
    <w:rsid w:val="016B03D3"/>
    <w:rsid w:val="019676AA"/>
    <w:rsid w:val="02296C83"/>
    <w:rsid w:val="038B022B"/>
    <w:rsid w:val="03A86AC5"/>
    <w:rsid w:val="04D1625D"/>
    <w:rsid w:val="04DF7192"/>
    <w:rsid w:val="055D54E7"/>
    <w:rsid w:val="05822021"/>
    <w:rsid w:val="061C715B"/>
    <w:rsid w:val="06A1492E"/>
    <w:rsid w:val="06AC4284"/>
    <w:rsid w:val="0ADF43E5"/>
    <w:rsid w:val="0E8F1CEB"/>
    <w:rsid w:val="0F240322"/>
    <w:rsid w:val="11C244E3"/>
    <w:rsid w:val="12DC6776"/>
    <w:rsid w:val="1497026D"/>
    <w:rsid w:val="14D65385"/>
    <w:rsid w:val="14E46507"/>
    <w:rsid w:val="160550C9"/>
    <w:rsid w:val="16297D66"/>
    <w:rsid w:val="17344DE4"/>
    <w:rsid w:val="175561A5"/>
    <w:rsid w:val="17782111"/>
    <w:rsid w:val="179B7EB4"/>
    <w:rsid w:val="19637835"/>
    <w:rsid w:val="19A14C1F"/>
    <w:rsid w:val="1A020B5E"/>
    <w:rsid w:val="1A4C776A"/>
    <w:rsid w:val="1B1738D4"/>
    <w:rsid w:val="1B416BA3"/>
    <w:rsid w:val="1BB1687E"/>
    <w:rsid w:val="1CEC049A"/>
    <w:rsid w:val="1DF168C0"/>
    <w:rsid w:val="1E540FDD"/>
    <w:rsid w:val="1F8F5FAF"/>
    <w:rsid w:val="1FF60574"/>
    <w:rsid w:val="20372327"/>
    <w:rsid w:val="20D05DB2"/>
    <w:rsid w:val="227B42A0"/>
    <w:rsid w:val="232F4A33"/>
    <w:rsid w:val="2367766A"/>
    <w:rsid w:val="236819A8"/>
    <w:rsid w:val="244E28B6"/>
    <w:rsid w:val="24947236"/>
    <w:rsid w:val="24E93749"/>
    <w:rsid w:val="25AB7A3A"/>
    <w:rsid w:val="261E4951"/>
    <w:rsid w:val="271C7BA5"/>
    <w:rsid w:val="27963CDA"/>
    <w:rsid w:val="27A87E6E"/>
    <w:rsid w:val="28846321"/>
    <w:rsid w:val="29660CEA"/>
    <w:rsid w:val="2A7C07AE"/>
    <w:rsid w:val="2A8D3BB3"/>
    <w:rsid w:val="2B1A5ABA"/>
    <w:rsid w:val="2B7B6DE1"/>
    <w:rsid w:val="2C2D01C9"/>
    <w:rsid w:val="2CDA6E57"/>
    <w:rsid w:val="2D115CD2"/>
    <w:rsid w:val="2D892A24"/>
    <w:rsid w:val="2DDB0EC9"/>
    <w:rsid w:val="2F7C41F6"/>
    <w:rsid w:val="305111DE"/>
    <w:rsid w:val="30646B53"/>
    <w:rsid w:val="30CA52E9"/>
    <w:rsid w:val="30ED7159"/>
    <w:rsid w:val="32483CAD"/>
    <w:rsid w:val="340C6994"/>
    <w:rsid w:val="347A51A8"/>
    <w:rsid w:val="349107F6"/>
    <w:rsid w:val="34EE2F66"/>
    <w:rsid w:val="354D6193"/>
    <w:rsid w:val="36603F29"/>
    <w:rsid w:val="3B235C9E"/>
    <w:rsid w:val="3BBD4774"/>
    <w:rsid w:val="3BE92C13"/>
    <w:rsid w:val="3CBD483A"/>
    <w:rsid w:val="3CC527C1"/>
    <w:rsid w:val="40D814C3"/>
    <w:rsid w:val="41AC2A51"/>
    <w:rsid w:val="42091919"/>
    <w:rsid w:val="42A67168"/>
    <w:rsid w:val="42B671D5"/>
    <w:rsid w:val="44A66EED"/>
    <w:rsid w:val="44BE7165"/>
    <w:rsid w:val="455455A1"/>
    <w:rsid w:val="489F5BDF"/>
    <w:rsid w:val="48B41B3C"/>
    <w:rsid w:val="48C52312"/>
    <w:rsid w:val="49F92273"/>
    <w:rsid w:val="4BC62629"/>
    <w:rsid w:val="4C365A00"/>
    <w:rsid w:val="4C480BC5"/>
    <w:rsid w:val="4F6D4491"/>
    <w:rsid w:val="4F965B46"/>
    <w:rsid w:val="4FBA5638"/>
    <w:rsid w:val="50485D02"/>
    <w:rsid w:val="529214B7"/>
    <w:rsid w:val="534740C2"/>
    <w:rsid w:val="537946CE"/>
    <w:rsid w:val="53CD251F"/>
    <w:rsid w:val="540B7771"/>
    <w:rsid w:val="54A41E09"/>
    <w:rsid w:val="55125B08"/>
    <w:rsid w:val="558127D5"/>
    <w:rsid w:val="59BB7545"/>
    <w:rsid w:val="5AA20705"/>
    <w:rsid w:val="5C660A68"/>
    <w:rsid w:val="5D6F0D72"/>
    <w:rsid w:val="5DEF61CF"/>
    <w:rsid w:val="5E6E2D65"/>
    <w:rsid w:val="5FB3353F"/>
    <w:rsid w:val="60866BC3"/>
    <w:rsid w:val="620174D7"/>
    <w:rsid w:val="62842D4E"/>
    <w:rsid w:val="63E97C47"/>
    <w:rsid w:val="64A33D7B"/>
    <w:rsid w:val="64E01F91"/>
    <w:rsid w:val="65C74E59"/>
    <w:rsid w:val="666E3CFC"/>
    <w:rsid w:val="66FE6CC3"/>
    <w:rsid w:val="67543103"/>
    <w:rsid w:val="68624CAF"/>
    <w:rsid w:val="68907DEF"/>
    <w:rsid w:val="68A25CEB"/>
    <w:rsid w:val="696F5806"/>
    <w:rsid w:val="697103CF"/>
    <w:rsid w:val="6B6D29CC"/>
    <w:rsid w:val="6B95189C"/>
    <w:rsid w:val="6C8934D3"/>
    <w:rsid w:val="6D0D7C60"/>
    <w:rsid w:val="6DF43831"/>
    <w:rsid w:val="6EAC4E1D"/>
    <w:rsid w:val="6F173018"/>
    <w:rsid w:val="712727F0"/>
    <w:rsid w:val="715C0F73"/>
    <w:rsid w:val="715E3E92"/>
    <w:rsid w:val="71956476"/>
    <w:rsid w:val="71E534AD"/>
    <w:rsid w:val="724F1412"/>
    <w:rsid w:val="743D707D"/>
    <w:rsid w:val="74597B59"/>
    <w:rsid w:val="75F406CA"/>
    <w:rsid w:val="764566BC"/>
    <w:rsid w:val="765D6045"/>
    <w:rsid w:val="78883926"/>
    <w:rsid w:val="78B65A6F"/>
    <w:rsid w:val="79312F28"/>
    <w:rsid w:val="79A33E26"/>
    <w:rsid w:val="7A214D4A"/>
    <w:rsid w:val="7C5807CC"/>
    <w:rsid w:val="7D22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44273401-ff06-45ec-b09b-183313fdfcc0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241EDED</paraID>
      <start>22</start>
      <end>24</end>
      <status>modified</status>
      <modifiedWord>》《</modifiedWord>
      <trackRevisions>false</trackRevisions>
    </reviewItem>
    <reviewItem>
      <errorID>09c37fc4-dc38-4257-9628-19f8b21dd864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241EDED</paraID>
      <start>36</start>
      <end>38</end>
      <status>modified</status>
      <modifiedWord>》《</modifiedWord>
      <trackRevisions>false</trackRevisions>
    </reviewItem>
    <reviewItem>
      <errorID>d9ae7a5a-a129-4445-8e42-b551eca8a992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5B4D2894</paraID>
      <start>0</start>
      <end>3</end>
      <status>modified</status>
      <modifiedWord>（4）</modifiedWord>
      <trackRevisions>false</trackRevisions>
    </reviewItem>
    <reviewItem>
      <errorID>d588a37f-1321-41bc-9029-83b063b0f6a5</errorID>
      <errorWord>,</errorWord>
      <group>L1_Format</group>
      <groupName>格式问题</groupName>
      <ability>L2_HalfPunc</ability>
      <abilityName>全半角检查</abilityName>
      <candidateList>
        <item>，</item>
      </candidateList>
      <explain>文本全半角错误。</explain>
      <paraID>5B4D2894</paraID>
      <start>26</start>
      <end>27</end>
      <status>modified</status>
      <modifiedWord>，</modifiedWord>
      <trackRevisions>false</trackRevisions>
    </reviewItem>
    <reviewItem>
      <errorID>282bcfa2-fdb8-4c3a-9d65-e47f7180b595</errorID>
      <errorWord>壮</errorWord>
      <group>L1_Word</group>
      <groupName>字词问题</groupName>
      <ability>L2_Typo</ability>
      <abilityName>字词错误</abilityName>
      <candidateList>
        <item>装</item>
      </candidateList>
      <explain/>
      <paraID>5BE342ED</paraID>
      <start>62</start>
      <end>63</end>
      <status>ignored</status>
      <modifiedWord/>
      <trackRevisions>false</trackRevisions>
    </reviewItem>
    <reviewItem>
      <errorID>488146a7-fc6b-4cb0-967b-acb2781a5ed7</errorID>
      <errorWord>现场、</errorWord>
      <group>L1_Grammar</group>
      <groupName>语法问题</groupName>
      <ability>L2_Order</ability>
      <abilityName>语序不当</abilityName>
      <candidateList>
        <item>现场</item>
      </candidateList>
      <explain>句子可能没有遵循时空、逻辑顺序，或者介词、关联词等位置不当。</explain>
      <paraID>5BE342ED</paraID>
      <start>66</start>
      <end>68</end>
      <status>modified</status>
      <modifiedWord>现场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f3a5b-ca87-4d0f-9068-c56d7a0c46d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1430</Words>
  <Characters>1487</Characters>
  <Lines>16</Lines>
  <Paragraphs>4</Paragraphs>
  <TotalTime>5</TotalTime>
  <ScaleCrop>false</ScaleCrop>
  <LinksUpToDate>false</LinksUpToDate>
  <CharactersWithSpaces>1487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黄</cp:lastModifiedBy>
  <cp:lastPrinted>2025-09-23T08:41:00Z</cp:lastPrinted>
  <dcterms:modified xsi:type="dcterms:W3CDTF">2025-12-29T02:05:37Z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eyJoZGlkIjoiODJiNzc2ZjQ3ZWNhNWE0YTg1ZDk1YzE2OTlhZmE4MDIiLCJ1c2VySWQiOiI2Njg3OTkyMDgifQ==</vt:lpwstr>
  </property>
  <property fmtid="{D5CDD505-2E9C-101B-9397-08002B2CF9AE}" pid="4" name="ICV">
    <vt:lpwstr>C0535A95608440529B1E6C2ED8AFC595_13</vt:lpwstr>
  </property>
</Properties>
</file>