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2025年第32届广州园林博览会专项经费（秋季专场）苗木采购（三）</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w:t>
      </w:r>
      <w:r>
        <w:rPr>
          <w:rFonts w:hint="eastAsia" w:asciiTheme="minorEastAsia" w:hAnsiTheme="minorEastAsia" w:eastAsiaTheme="minorEastAsia" w:cstheme="minorEastAsia"/>
          <w:sz w:val="28"/>
          <w:szCs w:val="28"/>
          <w:highlight w:val="none"/>
        </w:rPr>
        <w:t>为人民币 [</w:t>
      </w:r>
      <w:r>
        <w:rPr>
          <w:rFonts w:hint="eastAsia" w:asciiTheme="minorEastAsia" w:hAnsiTheme="minorEastAsia" w:eastAsiaTheme="minorEastAsia" w:cstheme="minorEastAsia"/>
          <w:sz w:val="28"/>
          <w:szCs w:val="28"/>
          <w:highlight w:val="none"/>
          <w:lang w:val="en-US" w:eastAsia="zh-CN"/>
        </w:rPr>
        <w:t>338750.00</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73"/>
        <w:gridCol w:w="1278"/>
        <w:gridCol w:w="2270"/>
        <w:gridCol w:w="1121"/>
        <w:gridCol w:w="744"/>
        <w:gridCol w:w="2100"/>
        <w:gridCol w:w="2059"/>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50" w:hRule="atLeast"/>
          <w:tblHeader/>
          <w:jc w:val="center"/>
        </w:trPr>
        <w:tc>
          <w:tcPr>
            <w:tcW w:w="673" w:type="dxa"/>
            <w:vAlign w:val="center"/>
          </w:tcPr>
          <w:p w14:paraId="1252F3C0">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序号</w:t>
            </w:r>
          </w:p>
        </w:tc>
        <w:tc>
          <w:tcPr>
            <w:tcW w:w="1278" w:type="dxa"/>
            <w:vAlign w:val="center"/>
          </w:tcPr>
          <w:p w14:paraId="79F7463E">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货物名称</w:t>
            </w:r>
          </w:p>
        </w:tc>
        <w:tc>
          <w:tcPr>
            <w:tcW w:w="2270" w:type="dxa"/>
            <w:vAlign w:val="center"/>
          </w:tcPr>
          <w:p w14:paraId="6EF43445">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规格型号</w:t>
            </w:r>
          </w:p>
        </w:tc>
        <w:tc>
          <w:tcPr>
            <w:tcW w:w="1121" w:type="dxa"/>
            <w:vAlign w:val="center"/>
          </w:tcPr>
          <w:p w14:paraId="6D7EC928">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暂定数量</w:t>
            </w:r>
          </w:p>
        </w:tc>
        <w:tc>
          <w:tcPr>
            <w:tcW w:w="744" w:type="dxa"/>
            <w:vAlign w:val="center"/>
          </w:tcPr>
          <w:p w14:paraId="489D2E28">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单位</w:t>
            </w:r>
          </w:p>
        </w:tc>
        <w:tc>
          <w:tcPr>
            <w:tcW w:w="2100" w:type="dxa"/>
            <w:vAlign w:val="center"/>
          </w:tcPr>
          <w:p w14:paraId="08598DAA">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综合单价限价（元）</w:t>
            </w:r>
          </w:p>
        </w:tc>
        <w:tc>
          <w:tcPr>
            <w:tcW w:w="2059" w:type="dxa"/>
            <w:vAlign w:val="center"/>
          </w:tcPr>
          <w:p w14:paraId="4FCE8156">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sz w:val="22"/>
                <w:szCs w:val="22"/>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5822FEDF">
            <w:pPr>
              <w:snapToGrid w:val="0"/>
              <w:jc w:val="center"/>
              <w:rPr>
                <w:rFonts w:hint="eastAsia" w:ascii="宋体" w:eastAsia="宋体" w:hAnsiTheme="minorEastAsia" w:cstheme="minorEastAsia"/>
                <w:sz w:val="22"/>
                <w:szCs w:val="24"/>
              </w:rPr>
            </w:pPr>
          </w:p>
        </w:tc>
        <w:tc>
          <w:tcPr>
            <w:tcW w:w="1278" w:type="dxa"/>
            <w:vAlign w:val="center"/>
          </w:tcPr>
          <w:p w14:paraId="33144DF8">
            <w:pPr>
              <w:keepNext w:val="0"/>
              <w:keepLines w:val="0"/>
              <w:widowControl/>
              <w:suppressLineNumbers w:val="0"/>
              <w:snapToGrid w:val="0"/>
              <w:jc w:val="center"/>
              <w:textAlignment w:val="center"/>
              <w:rPr>
                <w:rFonts w:hint="eastAsia" w:ascii="宋体" w:eastAsia="宋体" w:hAnsiTheme="minorEastAsia" w:cstheme="minorEastAsia"/>
                <w:sz w:val="22"/>
                <w:szCs w:val="24"/>
              </w:rPr>
            </w:pPr>
            <w:r>
              <w:rPr>
                <w:rFonts w:hint="eastAsia" w:ascii="宋体" w:hAnsi="宋体" w:eastAsia="宋体" w:cs="宋体"/>
                <w:b/>
                <w:bCs/>
                <w:i w:val="0"/>
                <w:iCs w:val="0"/>
                <w:color w:val="000000"/>
                <w:kern w:val="0"/>
                <w:sz w:val="22"/>
                <w:szCs w:val="22"/>
                <w:u w:val="none"/>
                <w:lang w:val="en-US" w:eastAsia="zh-CN" w:bidi="ar"/>
              </w:rPr>
              <w:t>地被</w:t>
            </w:r>
          </w:p>
        </w:tc>
        <w:tc>
          <w:tcPr>
            <w:tcW w:w="2270" w:type="dxa"/>
            <w:vAlign w:val="center"/>
          </w:tcPr>
          <w:p w14:paraId="340711DC">
            <w:pPr>
              <w:keepNext w:val="0"/>
              <w:keepLines w:val="0"/>
              <w:widowControl/>
              <w:suppressLineNumbers w:val="0"/>
              <w:snapToGrid w:val="0"/>
              <w:jc w:val="center"/>
              <w:textAlignment w:val="center"/>
              <w:rPr>
                <w:rFonts w:hint="eastAsia" w:ascii="宋体" w:eastAsia="宋体" w:hAnsiTheme="minorEastAsia" w:cstheme="minorEastAsia"/>
                <w:sz w:val="22"/>
                <w:szCs w:val="24"/>
              </w:rPr>
            </w:pPr>
          </w:p>
        </w:tc>
        <w:tc>
          <w:tcPr>
            <w:tcW w:w="1121" w:type="dxa"/>
            <w:vAlign w:val="center"/>
          </w:tcPr>
          <w:p w14:paraId="0F50CADB">
            <w:pPr>
              <w:keepNext w:val="0"/>
              <w:keepLines w:val="0"/>
              <w:widowControl/>
              <w:suppressLineNumbers w:val="0"/>
              <w:snapToGrid w:val="0"/>
              <w:jc w:val="center"/>
              <w:textAlignment w:val="center"/>
              <w:rPr>
                <w:rFonts w:hint="eastAsia" w:ascii="宋体" w:eastAsia="宋体" w:hAnsiTheme="minorEastAsia" w:cstheme="minorEastAsia"/>
                <w:sz w:val="22"/>
                <w:szCs w:val="24"/>
              </w:rPr>
            </w:pPr>
          </w:p>
        </w:tc>
        <w:tc>
          <w:tcPr>
            <w:tcW w:w="744" w:type="dxa"/>
            <w:vAlign w:val="center"/>
          </w:tcPr>
          <w:p w14:paraId="3657D1C4">
            <w:pPr>
              <w:keepNext w:val="0"/>
              <w:keepLines w:val="0"/>
              <w:widowControl/>
              <w:suppressLineNumbers w:val="0"/>
              <w:snapToGrid w:val="0"/>
              <w:jc w:val="center"/>
              <w:textAlignment w:val="center"/>
              <w:rPr>
                <w:rFonts w:hint="eastAsia" w:ascii="宋体" w:eastAsia="宋体" w:hAnsiTheme="minorEastAsia" w:cstheme="minorEastAsia"/>
                <w:sz w:val="22"/>
                <w:szCs w:val="24"/>
              </w:rPr>
            </w:pPr>
          </w:p>
        </w:tc>
        <w:tc>
          <w:tcPr>
            <w:tcW w:w="2100" w:type="dxa"/>
            <w:vAlign w:val="center"/>
          </w:tcPr>
          <w:p w14:paraId="62899EB3">
            <w:pPr>
              <w:keepNext w:val="0"/>
              <w:keepLines w:val="0"/>
              <w:widowControl/>
              <w:suppressLineNumbers w:val="0"/>
              <w:snapToGrid w:val="0"/>
              <w:jc w:val="right"/>
              <w:textAlignment w:val="center"/>
              <w:rPr>
                <w:rFonts w:hint="eastAsia" w:ascii="宋体" w:eastAsia="宋体" w:hAnsiTheme="minorEastAsia" w:cstheme="minorEastAsia"/>
                <w:sz w:val="22"/>
                <w:szCs w:val="24"/>
              </w:rPr>
            </w:pPr>
          </w:p>
        </w:tc>
        <w:tc>
          <w:tcPr>
            <w:tcW w:w="2059" w:type="dxa"/>
            <w:vAlign w:val="center"/>
          </w:tcPr>
          <w:p w14:paraId="4C88D73B">
            <w:pPr>
              <w:keepNext w:val="0"/>
              <w:keepLines w:val="0"/>
              <w:widowControl/>
              <w:suppressLineNumbers w:val="0"/>
              <w:snapToGrid w:val="0"/>
              <w:jc w:val="right"/>
              <w:textAlignment w:val="center"/>
              <w:rPr>
                <w:rFonts w:hint="eastAsia" w:ascii="宋体" w:eastAsia="宋体" w:hAnsiTheme="minorEastAsia" w:cstheme="minorEastAsia"/>
                <w:sz w:val="22"/>
                <w:szCs w:val="24"/>
              </w:rPr>
            </w:pP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16" w:hRule="atLeast"/>
          <w:jc w:val="center"/>
        </w:trPr>
        <w:tc>
          <w:tcPr>
            <w:tcW w:w="673" w:type="dxa"/>
            <w:vAlign w:val="center"/>
          </w:tcPr>
          <w:p w14:paraId="347AE15F">
            <w:pPr>
              <w:keepNext w:val="0"/>
              <w:keepLines w:val="0"/>
              <w:widowControl/>
              <w:suppressLineNumbers w:val="0"/>
              <w:snapToGrid w:val="0"/>
              <w:jc w:val="center"/>
              <w:textAlignment w:val="center"/>
              <w:rPr>
                <w:rFonts w:hint="eastAsia" w:ascii="宋体" w:eastAsia="宋体" w:hAnsiTheme="minorEastAsia" w:cstheme="minorEastAsia"/>
                <w:sz w:val="22"/>
                <w:szCs w:val="24"/>
              </w:rPr>
            </w:pPr>
            <w:r>
              <w:rPr>
                <w:rFonts w:hint="eastAsia" w:ascii="宋体" w:hAnsi="宋体" w:eastAsia="宋体" w:cs="宋体"/>
                <w:i w:val="0"/>
                <w:iCs w:val="0"/>
                <w:color w:val="000000"/>
                <w:kern w:val="0"/>
                <w:sz w:val="22"/>
                <w:szCs w:val="22"/>
                <w:u w:val="none"/>
                <w:lang w:val="en-US" w:eastAsia="zh-CN" w:bidi="ar"/>
              </w:rPr>
              <w:t>1</w:t>
            </w:r>
          </w:p>
        </w:tc>
        <w:tc>
          <w:tcPr>
            <w:tcW w:w="1278" w:type="dxa"/>
            <w:vAlign w:val="center"/>
          </w:tcPr>
          <w:p w14:paraId="2BBB2375">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cs="宋体"/>
                <w:i w:val="0"/>
                <w:iCs w:val="0"/>
                <w:color w:val="000000"/>
                <w:kern w:val="0"/>
                <w:sz w:val="22"/>
                <w:szCs w:val="22"/>
                <w:u w:val="none"/>
                <w:lang w:val="en-US" w:eastAsia="zh-CN" w:bidi="ar"/>
              </w:rPr>
              <w:t>草皮</w:t>
            </w:r>
            <w:r>
              <w:rPr>
                <w:rFonts w:hint="eastAsia" w:ascii="宋体" w:hAnsi="宋体" w:eastAsia="宋体" w:cs="宋体"/>
                <w:i w:val="0"/>
                <w:iCs w:val="0"/>
                <w:color w:val="000000"/>
                <w:kern w:val="0"/>
                <w:sz w:val="22"/>
                <w:szCs w:val="22"/>
                <w:u w:val="none"/>
                <w:lang w:val="en-US" w:eastAsia="zh-CN" w:bidi="ar"/>
              </w:rPr>
              <w:t>A</w:t>
            </w:r>
          </w:p>
        </w:tc>
        <w:tc>
          <w:tcPr>
            <w:tcW w:w="2270" w:type="dxa"/>
            <w:vAlign w:val="center"/>
          </w:tcPr>
          <w:p w14:paraId="7EE7D5A4">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苗高：2cm,密度≥85%，30*30/块</w:t>
            </w:r>
          </w:p>
        </w:tc>
        <w:tc>
          <w:tcPr>
            <w:tcW w:w="1121" w:type="dxa"/>
            <w:vAlign w:val="center"/>
          </w:tcPr>
          <w:p w14:paraId="1F6F3F4B">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4800</w:t>
            </w:r>
          </w:p>
        </w:tc>
        <w:tc>
          <w:tcPr>
            <w:tcW w:w="744" w:type="dxa"/>
            <w:vAlign w:val="center"/>
          </w:tcPr>
          <w:p w14:paraId="2E68EC1F">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w:t>
            </w:r>
          </w:p>
        </w:tc>
        <w:tc>
          <w:tcPr>
            <w:tcW w:w="2100" w:type="dxa"/>
            <w:vAlign w:val="center"/>
          </w:tcPr>
          <w:p w14:paraId="56CF843A">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059" w:type="dxa"/>
            <w:vAlign w:val="center"/>
          </w:tcPr>
          <w:p w14:paraId="171099E9">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48000</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29" w:hRule="atLeast"/>
          <w:jc w:val="center"/>
        </w:trPr>
        <w:tc>
          <w:tcPr>
            <w:tcW w:w="673" w:type="dxa"/>
            <w:vAlign w:val="center"/>
          </w:tcPr>
          <w:p w14:paraId="4357FC4E">
            <w:pPr>
              <w:keepNext w:val="0"/>
              <w:keepLines w:val="0"/>
              <w:widowControl/>
              <w:suppressLineNumbers w:val="0"/>
              <w:snapToGrid w:val="0"/>
              <w:jc w:val="center"/>
              <w:textAlignment w:val="center"/>
              <w:rPr>
                <w:rFonts w:hint="eastAsia" w:ascii="宋体" w:eastAsia="宋体" w:hAnsiTheme="minorEastAsia" w:cstheme="minorEastAsia"/>
                <w:sz w:val="22"/>
                <w:szCs w:val="24"/>
              </w:rPr>
            </w:pPr>
            <w:r>
              <w:rPr>
                <w:rFonts w:hint="eastAsia" w:ascii="宋体" w:hAnsi="宋体" w:eastAsia="宋体" w:cs="宋体"/>
                <w:i w:val="0"/>
                <w:iCs w:val="0"/>
                <w:color w:val="000000"/>
                <w:kern w:val="0"/>
                <w:sz w:val="22"/>
                <w:szCs w:val="22"/>
                <w:u w:val="none"/>
                <w:lang w:val="en-US" w:eastAsia="zh-CN" w:bidi="ar"/>
              </w:rPr>
              <w:t>2</w:t>
            </w:r>
          </w:p>
        </w:tc>
        <w:tc>
          <w:tcPr>
            <w:tcW w:w="1278" w:type="dxa"/>
            <w:vAlign w:val="center"/>
          </w:tcPr>
          <w:p w14:paraId="237D2F1D">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cs="宋体"/>
                <w:i w:val="0"/>
                <w:iCs w:val="0"/>
                <w:color w:val="000000"/>
                <w:kern w:val="0"/>
                <w:sz w:val="22"/>
                <w:szCs w:val="22"/>
                <w:u w:val="none"/>
                <w:lang w:val="en-US" w:eastAsia="zh-CN" w:bidi="ar"/>
              </w:rPr>
              <w:t>草皮</w:t>
            </w:r>
            <w:r>
              <w:rPr>
                <w:rFonts w:hint="eastAsia" w:ascii="宋体" w:hAnsi="宋体" w:eastAsia="宋体" w:cs="宋体"/>
                <w:i w:val="0"/>
                <w:iCs w:val="0"/>
                <w:color w:val="000000"/>
                <w:kern w:val="0"/>
                <w:sz w:val="22"/>
                <w:szCs w:val="22"/>
                <w:u w:val="none"/>
                <w:lang w:val="en-US" w:eastAsia="zh-CN" w:bidi="ar"/>
              </w:rPr>
              <w:t>B</w:t>
            </w:r>
          </w:p>
        </w:tc>
        <w:tc>
          <w:tcPr>
            <w:tcW w:w="2270" w:type="dxa"/>
            <w:vAlign w:val="center"/>
          </w:tcPr>
          <w:p w14:paraId="1482ABD3">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苗高：2cm,密度≥85%，100*30/块</w:t>
            </w:r>
          </w:p>
        </w:tc>
        <w:tc>
          <w:tcPr>
            <w:tcW w:w="1121" w:type="dxa"/>
            <w:vAlign w:val="center"/>
          </w:tcPr>
          <w:p w14:paraId="2C88CF5B">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744" w:type="dxa"/>
            <w:vAlign w:val="center"/>
          </w:tcPr>
          <w:p w14:paraId="217E21AA">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w:t>
            </w:r>
          </w:p>
        </w:tc>
        <w:tc>
          <w:tcPr>
            <w:tcW w:w="2100" w:type="dxa"/>
            <w:vAlign w:val="center"/>
          </w:tcPr>
          <w:p w14:paraId="23D7C22F">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059" w:type="dxa"/>
            <w:vAlign w:val="center"/>
          </w:tcPr>
          <w:p w14:paraId="3FEEB6CD">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20000</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0AC61A80">
            <w:pPr>
              <w:snapToGrid w:val="0"/>
              <w:jc w:val="center"/>
              <w:rPr>
                <w:rFonts w:hint="eastAsia" w:ascii="宋体" w:eastAsia="宋体" w:hAnsiTheme="minorEastAsia" w:cstheme="minorEastAsia"/>
                <w:sz w:val="22"/>
                <w:szCs w:val="24"/>
              </w:rPr>
            </w:pPr>
          </w:p>
        </w:tc>
        <w:tc>
          <w:tcPr>
            <w:tcW w:w="1278" w:type="dxa"/>
            <w:vAlign w:val="center"/>
          </w:tcPr>
          <w:p w14:paraId="70ED145D">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eastAsia="宋体" w:cs="宋体"/>
                <w:b/>
                <w:bCs/>
                <w:i w:val="0"/>
                <w:iCs w:val="0"/>
                <w:color w:val="000000"/>
                <w:kern w:val="0"/>
                <w:sz w:val="22"/>
                <w:szCs w:val="22"/>
                <w:u w:val="none"/>
                <w:lang w:val="en-US" w:eastAsia="zh-CN" w:bidi="ar"/>
              </w:rPr>
              <w:t>灌木</w:t>
            </w:r>
          </w:p>
        </w:tc>
        <w:tc>
          <w:tcPr>
            <w:tcW w:w="2270" w:type="dxa"/>
            <w:vAlign w:val="center"/>
          </w:tcPr>
          <w:p w14:paraId="3B8F05B9">
            <w:pPr>
              <w:keepNext w:val="0"/>
              <w:keepLines w:val="0"/>
              <w:widowControl/>
              <w:suppressLineNumbers w:val="0"/>
              <w:snapToGrid w:val="0"/>
              <w:jc w:val="center"/>
              <w:textAlignment w:val="center"/>
              <w:rPr>
                <w:rFonts w:hint="eastAsia" w:ascii="宋体" w:eastAsia="宋体" w:hAnsiTheme="minorEastAsia" w:cstheme="minorEastAsia"/>
                <w:sz w:val="22"/>
                <w:szCs w:val="22"/>
              </w:rPr>
            </w:pPr>
          </w:p>
        </w:tc>
        <w:tc>
          <w:tcPr>
            <w:tcW w:w="1121" w:type="dxa"/>
            <w:vAlign w:val="center"/>
          </w:tcPr>
          <w:p w14:paraId="63DFBF1A">
            <w:pPr>
              <w:jc w:val="center"/>
              <w:rPr>
                <w:rFonts w:hint="eastAsia" w:ascii="宋体" w:eastAsia="宋体" w:hAnsiTheme="minorEastAsia" w:cstheme="minorEastAsia"/>
                <w:sz w:val="22"/>
                <w:szCs w:val="22"/>
              </w:rPr>
            </w:pPr>
          </w:p>
        </w:tc>
        <w:tc>
          <w:tcPr>
            <w:tcW w:w="744" w:type="dxa"/>
            <w:vAlign w:val="center"/>
          </w:tcPr>
          <w:p w14:paraId="19BF8D2E">
            <w:pPr>
              <w:jc w:val="center"/>
              <w:rPr>
                <w:rFonts w:hint="eastAsia" w:ascii="宋体" w:eastAsia="宋体" w:hAnsiTheme="minorEastAsia" w:cstheme="minorEastAsia"/>
                <w:sz w:val="22"/>
                <w:szCs w:val="22"/>
              </w:rPr>
            </w:pPr>
          </w:p>
        </w:tc>
        <w:tc>
          <w:tcPr>
            <w:tcW w:w="2100" w:type="dxa"/>
            <w:vAlign w:val="center"/>
          </w:tcPr>
          <w:p w14:paraId="597D94E9">
            <w:pPr>
              <w:jc w:val="center"/>
              <w:rPr>
                <w:rFonts w:hint="eastAsia" w:ascii="宋体" w:eastAsia="宋体" w:hAnsiTheme="minorEastAsia" w:cstheme="minorEastAsia"/>
                <w:sz w:val="22"/>
                <w:szCs w:val="22"/>
              </w:rPr>
            </w:pPr>
          </w:p>
        </w:tc>
        <w:tc>
          <w:tcPr>
            <w:tcW w:w="2059" w:type="dxa"/>
            <w:vAlign w:val="center"/>
          </w:tcPr>
          <w:p w14:paraId="7FCCD42D">
            <w:pPr>
              <w:jc w:val="center"/>
              <w:rPr>
                <w:rFonts w:hint="eastAsia" w:ascii="宋体" w:eastAsia="宋体" w:hAnsiTheme="minorEastAsia" w:cstheme="minorEastAsia"/>
                <w:sz w:val="22"/>
                <w:szCs w:val="22"/>
              </w:rPr>
            </w:pP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12AEE761">
            <w:pPr>
              <w:keepNext w:val="0"/>
              <w:keepLines w:val="0"/>
              <w:widowControl/>
              <w:suppressLineNumbers w:val="0"/>
              <w:snapToGrid w:val="0"/>
              <w:jc w:val="center"/>
              <w:textAlignment w:val="center"/>
              <w:rPr>
                <w:rFonts w:hint="eastAsia" w:ascii="宋体" w:eastAsia="宋体" w:hAnsiTheme="minorEastAsia" w:cstheme="minorEastAsia"/>
                <w:sz w:val="22"/>
                <w:szCs w:val="24"/>
              </w:rPr>
            </w:pPr>
            <w:r>
              <w:rPr>
                <w:rFonts w:hint="eastAsia" w:ascii="宋体" w:hAnsi="宋体" w:eastAsia="宋体" w:cs="宋体"/>
                <w:i w:val="0"/>
                <w:iCs w:val="0"/>
                <w:color w:val="000000"/>
                <w:kern w:val="0"/>
                <w:sz w:val="22"/>
                <w:szCs w:val="22"/>
                <w:u w:val="none"/>
                <w:lang w:val="en-US" w:eastAsia="zh-CN" w:bidi="ar"/>
              </w:rPr>
              <w:t>3</w:t>
            </w:r>
          </w:p>
        </w:tc>
        <w:tc>
          <w:tcPr>
            <w:tcW w:w="1278" w:type="dxa"/>
            <w:vAlign w:val="center"/>
          </w:tcPr>
          <w:p w14:paraId="71C274F7">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灌木A</w:t>
            </w:r>
          </w:p>
        </w:tc>
        <w:tc>
          <w:tcPr>
            <w:tcW w:w="2270" w:type="dxa"/>
            <w:vAlign w:val="center"/>
          </w:tcPr>
          <w:p w14:paraId="10881327">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7斤袋</w:t>
            </w:r>
          </w:p>
        </w:tc>
        <w:tc>
          <w:tcPr>
            <w:tcW w:w="1121" w:type="dxa"/>
            <w:vAlign w:val="center"/>
          </w:tcPr>
          <w:p w14:paraId="7B96AEA7">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744" w:type="dxa"/>
            <w:vAlign w:val="center"/>
          </w:tcPr>
          <w:p w14:paraId="3DFDA96A">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袋</w:t>
            </w:r>
          </w:p>
        </w:tc>
        <w:tc>
          <w:tcPr>
            <w:tcW w:w="2100" w:type="dxa"/>
            <w:vAlign w:val="center"/>
          </w:tcPr>
          <w:p w14:paraId="10416C2D">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1.5</w:t>
            </w:r>
          </w:p>
        </w:tc>
        <w:tc>
          <w:tcPr>
            <w:tcW w:w="2059" w:type="dxa"/>
            <w:vAlign w:val="center"/>
          </w:tcPr>
          <w:p w14:paraId="00F4D74E">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6000</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32B8F39E">
            <w:pPr>
              <w:keepNext w:val="0"/>
              <w:keepLines w:val="0"/>
              <w:widowControl/>
              <w:suppressLineNumbers w:val="0"/>
              <w:snapToGrid w:val="0"/>
              <w:jc w:val="center"/>
              <w:textAlignment w:val="center"/>
              <w:rPr>
                <w:rFonts w:hint="eastAsia" w:ascii="宋体" w:eastAsia="宋体" w:hAnsiTheme="minorEastAsia" w:cstheme="minorEastAsia"/>
                <w:sz w:val="22"/>
                <w:szCs w:val="24"/>
              </w:rPr>
            </w:pPr>
            <w:r>
              <w:rPr>
                <w:rFonts w:hint="eastAsia" w:ascii="宋体" w:hAnsi="宋体" w:eastAsia="宋体" w:cs="宋体"/>
                <w:i w:val="0"/>
                <w:iCs w:val="0"/>
                <w:color w:val="000000"/>
                <w:kern w:val="0"/>
                <w:sz w:val="22"/>
                <w:szCs w:val="22"/>
                <w:u w:val="none"/>
                <w:lang w:val="en-US" w:eastAsia="zh-CN" w:bidi="ar"/>
              </w:rPr>
              <w:t>4</w:t>
            </w:r>
          </w:p>
        </w:tc>
        <w:tc>
          <w:tcPr>
            <w:tcW w:w="1278" w:type="dxa"/>
            <w:vAlign w:val="center"/>
          </w:tcPr>
          <w:p w14:paraId="311CC845">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灌木B</w:t>
            </w:r>
          </w:p>
        </w:tc>
        <w:tc>
          <w:tcPr>
            <w:tcW w:w="2270" w:type="dxa"/>
            <w:vAlign w:val="center"/>
          </w:tcPr>
          <w:p w14:paraId="1BAD0037">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H：0.8m</w:t>
            </w:r>
          </w:p>
        </w:tc>
        <w:tc>
          <w:tcPr>
            <w:tcW w:w="1121" w:type="dxa"/>
            <w:vAlign w:val="center"/>
          </w:tcPr>
          <w:p w14:paraId="52B55607">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1850</w:t>
            </w:r>
          </w:p>
        </w:tc>
        <w:tc>
          <w:tcPr>
            <w:tcW w:w="744" w:type="dxa"/>
            <w:vAlign w:val="center"/>
          </w:tcPr>
          <w:p w14:paraId="6B6BA211">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盆</w:t>
            </w:r>
          </w:p>
        </w:tc>
        <w:tc>
          <w:tcPr>
            <w:tcW w:w="2100" w:type="dxa"/>
            <w:vAlign w:val="center"/>
          </w:tcPr>
          <w:p w14:paraId="0F91BDCC">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32</w:t>
            </w:r>
          </w:p>
        </w:tc>
        <w:tc>
          <w:tcPr>
            <w:tcW w:w="2059" w:type="dxa"/>
            <w:vAlign w:val="center"/>
          </w:tcPr>
          <w:p w14:paraId="3C9FF7B3">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59200</w:t>
            </w:r>
          </w:p>
        </w:tc>
      </w:tr>
      <w:tr w14:paraId="6B4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28C585C4">
            <w:pPr>
              <w:keepNext w:val="0"/>
              <w:keepLines w:val="0"/>
              <w:widowControl/>
              <w:suppressLineNumbers w:val="0"/>
              <w:snapToGrid w:val="0"/>
              <w:jc w:val="center"/>
              <w:textAlignment w:val="center"/>
              <w:rPr>
                <w:rFonts w:hint="eastAsia" w:ascii="宋体" w:eastAsia="宋体" w:hAnsiTheme="minorEastAsia" w:cstheme="minorEastAsia"/>
                <w:sz w:val="22"/>
                <w:szCs w:val="24"/>
              </w:rPr>
            </w:pPr>
            <w:r>
              <w:rPr>
                <w:rFonts w:hint="eastAsia" w:ascii="宋体" w:hAnsi="宋体" w:eastAsia="宋体" w:cs="宋体"/>
                <w:i w:val="0"/>
                <w:iCs w:val="0"/>
                <w:color w:val="000000"/>
                <w:kern w:val="0"/>
                <w:sz w:val="22"/>
                <w:szCs w:val="22"/>
                <w:u w:val="none"/>
                <w:lang w:val="en-US" w:eastAsia="zh-CN" w:bidi="ar"/>
              </w:rPr>
              <w:t>5</w:t>
            </w:r>
          </w:p>
        </w:tc>
        <w:tc>
          <w:tcPr>
            <w:tcW w:w="1278" w:type="dxa"/>
            <w:vAlign w:val="center"/>
          </w:tcPr>
          <w:p w14:paraId="3753DCBB">
            <w:pPr>
              <w:keepNext w:val="0"/>
              <w:keepLines w:val="0"/>
              <w:widowControl/>
              <w:suppressLineNumbers w:val="0"/>
              <w:snapToGrid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灌木C</w:t>
            </w:r>
          </w:p>
        </w:tc>
        <w:tc>
          <w:tcPr>
            <w:tcW w:w="2270" w:type="dxa"/>
            <w:vAlign w:val="center"/>
          </w:tcPr>
          <w:p w14:paraId="1FD179DA">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H：1.3m</w:t>
            </w:r>
          </w:p>
        </w:tc>
        <w:tc>
          <w:tcPr>
            <w:tcW w:w="1121" w:type="dxa"/>
            <w:vAlign w:val="center"/>
          </w:tcPr>
          <w:p w14:paraId="543BE5F4">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744" w:type="dxa"/>
            <w:vAlign w:val="center"/>
          </w:tcPr>
          <w:p w14:paraId="570FF73C">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盆</w:t>
            </w:r>
          </w:p>
        </w:tc>
        <w:tc>
          <w:tcPr>
            <w:tcW w:w="2100" w:type="dxa"/>
            <w:vAlign w:val="center"/>
          </w:tcPr>
          <w:p w14:paraId="51F56DAC">
            <w:pPr>
              <w:keepNext w:val="0"/>
              <w:keepLines w:val="0"/>
              <w:widowControl/>
              <w:suppressLineNumbers w:val="0"/>
              <w:jc w:val="center"/>
              <w:textAlignment w:val="center"/>
              <w:rPr>
                <w:rFonts w:hint="default" w:ascii="宋体" w:eastAsia="宋体" w:hAnsiTheme="minorEastAsia" w:cstheme="minorEastAsia"/>
                <w:sz w:val="22"/>
                <w:szCs w:val="22"/>
                <w:lang w:val="en-US"/>
              </w:rPr>
            </w:pPr>
            <w:r>
              <w:rPr>
                <w:rFonts w:hint="eastAsia" w:ascii="宋体" w:hAnsi="宋体" w:eastAsia="宋体" w:cs="宋体"/>
                <w:i w:val="0"/>
                <w:iCs w:val="0"/>
                <w:color w:val="000000"/>
                <w:kern w:val="0"/>
                <w:sz w:val="22"/>
                <w:szCs w:val="22"/>
                <w:u w:val="none"/>
                <w:lang w:val="en-US" w:eastAsia="zh-CN" w:bidi="ar"/>
              </w:rPr>
              <w:t>140</w:t>
            </w:r>
          </w:p>
        </w:tc>
        <w:tc>
          <w:tcPr>
            <w:tcW w:w="2059" w:type="dxa"/>
            <w:vAlign w:val="center"/>
          </w:tcPr>
          <w:p w14:paraId="23154E3A">
            <w:pPr>
              <w:keepNext w:val="0"/>
              <w:keepLines w:val="0"/>
              <w:widowControl/>
              <w:suppressLineNumbers w:val="0"/>
              <w:jc w:val="center"/>
              <w:textAlignment w:val="center"/>
              <w:rPr>
                <w:rFonts w:hint="eastAsia" w:ascii="宋体" w:eastAsia="宋体" w:hAnsiTheme="minorEastAsia" w:cstheme="minorEastAsia"/>
                <w:sz w:val="22"/>
                <w:szCs w:val="22"/>
              </w:rPr>
            </w:pPr>
            <w:r>
              <w:rPr>
                <w:rFonts w:hint="eastAsia" w:ascii="宋体" w:hAnsi="宋体" w:eastAsia="宋体" w:cs="宋体"/>
                <w:i w:val="0"/>
                <w:iCs w:val="0"/>
                <w:color w:val="000000"/>
                <w:kern w:val="0"/>
                <w:sz w:val="22"/>
                <w:szCs w:val="22"/>
                <w:u w:val="none"/>
                <w:lang w:val="en-US" w:eastAsia="zh-CN" w:bidi="ar"/>
              </w:rPr>
              <w:t>84000</w:t>
            </w:r>
          </w:p>
        </w:tc>
      </w:tr>
      <w:tr w14:paraId="4210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7833FB4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8" w:type="dxa"/>
            <w:vAlign w:val="center"/>
          </w:tcPr>
          <w:p w14:paraId="5CDFA53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灌木D</w:t>
            </w:r>
          </w:p>
        </w:tc>
        <w:tc>
          <w:tcPr>
            <w:tcW w:w="2270" w:type="dxa"/>
            <w:vAlign w:val="center"/>
          </w:tcPr>
          <w:p w14:paraId="1F8BB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七寸盆</w:t>
            </w:r>
          </w:p>
        </w:tc>
        <w:tc>
          <w:tcPr>
            <w:tcW w:w="1121" w:type="dxa"/>
            <w:vAlign w:val="center"/>
          </w:tcPr>
          <w:p w14:paraId="38949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44" w:type="dxa"/>
            <w:vAlign w:val="center"/>
          </w:tcPr>
          <w:p w14:paraId="42FAD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2100" w:type="dxa"/>
            <w:vAlign w:val="center"/>
          </w:tcPr>
          <w:p w14:paraId="5354F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59" w:type="dxa"/>
            <w:vAlign w:val="center"/>
          </w:tcPr>
          <w:p w14:paraId="1B6E4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226D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0A8643D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8" w:type="dxa"/>
            <w:vAlign w:val="center"/>
          </w:tcPr>
          <w:p w14:paraId="048C9CE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灌木E</w:t>
            </w:r>
          </w:p>
        </w:tc>
        <w:tc>
          <w:tcPr>
            <w:tcW w:w="2270" w:type="dxa"/>
            <w:vAlign w:val="center"/>
          </w:tcPr>
          <w:p w14:paraId="67505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七寸盆</w:t>
            </w:r>
          </w:p>
        </w:tc>
        <w:tc>
          <w:tcPr>
            <w:tcW w:w="1121" w:type="dxa"/>
            <w:vAlign w:val="center"/>
          </w:tcPr>
          <w:p w14:paraId="37A8D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744" w:type="dxa"/>
            <w:vAlign w:val="center"/>
          </w:tcPr>
          <w:p w14:paraId="3DDA88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2100" w:type="dxa"/>
            <w:vAlign w:val="center"/>
          </w:tcPr>
          <w:p w14:paraId="549BA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59" w:type="dxa"/>
            <w:vAlign w:val="center"/>
          </w:tcPr>
          <w:p w14:paraId="7727F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12500</w:t>
            </w:r>
          </w:p>
        </w:tc>
      </w:tr>
      <w:tr w14:paraId="446E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139004F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8" w:type="dxa"/>
            <w:vAlign w:val="center"/>
          </w:tcPr>
          <w:p w14:paraId="60467F0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灌木F</w:t>
            </w:r>
          </w:p>
        </w:tc>
        <w:tc>
          <w:tcPr>
            <w:tcW w:w="2270" w:type="dxa"/>
            <w:vAlign w:val="center"/>
          </w:tcPr>
          <w:p w14:paraId="1E5CA2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H:1.2-1.5m</w:t>
            </w:r>
          </w:p>
        </w:tc>
        <w:tc>
          <w:tcPr>
            <w:tcW w:w="1121" w:type="dxa"/>
            <w:vAlign w:val="center"/>
          </w:tcPr>
          <w:p w14:paraId="25E80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744" w:type="dxa"/>
            <w:vAlign w:val="center"/>
          </w:tcPr>
          <w:p w14:paraId="03411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2100" w:type="dxa"/>
            <w:vAlign w:val="center"/>
          </w:tcPr>
          <w:p w14:paraId="4DC4C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059" w:type="dxa"/>
            <w:vAlign w:val="center"/>
          </w:tcPr>
          <w:p w14:paraId="1EAA32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w:t>
            </w:r>
          </w:p>
        </w:tc>
      </w:tr>
      <w:tr w14:paraId="5C6B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4D9D06FB">
            <w:pPr>
              <w:snapToGrid w:val="0"/>
              <w:jc w:val="center"/>
              <w:rPr>
                <w:rFonts w:hint="eastAsia" w:ascii="宋体" w:hAnsi="宋体" w:eastAsia="宋体" w:cs="宋体"/>
                <w:i w:val="0"/>
                <w:iCs w:val="0"/>
                <w:color w:val="000000"/>
                <w:kern w:val="0"/>
                <w:sz w:val="22"/>
                <w:szCs w:val="24"/>
                <w:u w:val="none"/>
                <w:lang w:val="en-US" w:eastAsia="zh-CN" w:bidi="ar"/>
              </w:rPr>
            </w:pPr>
          </w:p>
        </w:tc>
        <w:tc>
          <w:tcPr>
            <w:tcW w:w="1278" w:type="dxa"/>
            <w:vAlign w:val="center"/>
          </w:tcPr>
          <w:p w14:paraId="20A5812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乔木</w:t>
            </w:r>
          </w:p>
        </w:tc>
        <w:tc>
          <w:tcPr>
            <w:tcW w:w="2270" w:type="dxa"/>
            <w:vAlign w:val="center"/>
          </w:tcPr>
          <w:p w14:paraId="6B52DDC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1" w:type="dxa"/>
            <w:vAlign w:val="center"/>
          </w:tcPr>
          <w:p w14:paraId="11A82FD4">
            <w:pPr>
              <w:jc w:val="center"/>
              <w:rPr>
                <w:rFonts w:hint="eastAsia" w:ascii="宋体" w:hAnsi="宋体" w:eastAsia="宋体" w:cs="宋体"/>
                <w:i w:val="0"/>
                <w:iCs w:val="0"/>
                <w:color w:val="000000"/>
                <w:kern w:val="0"/>
                <w:sz w:val="22"/>
                <w:szCs w:val="22"/>
                <w:u w:val="none"/>
                <w:lang w:val="en-US" w:eastAsia="zh-CN" w:bidi="ar"/>
              </w:rPr>
            </w:pPr>
          </w:p>
        </w:tc>
        <w:tc>
          <w:tcPr>
            <w:tcW w:w="744" w:type="dxa"/>
            <w:vAlign w:val="center"/>
          </w:tcPr>
          <w:p w14:paraId="3A90F10B">
            <w:pPr>
              <w:jc w:val="center"/>
              <w:rPr>
                <w:rFonts w:hint="eastAsia" w:ascii="宋体" w:hAnsi="宋体" w:eastAsia="宋体" w:cs="宋体"/>
                <w:i w:val="0"/>
                <w:iCs w:val="0"/>
                <w:color w:val="000000"/>
                <w:kern w:val="0"/>
                <w:sz w:val="22"/>
                <w:szCs w:val="22"/>
                <w:u w:val="none"/>
                <w:lang w:val="en-US" w:eastAsia="zh-CN" w:bidi="ar"/>
              </w:rPr>
            </w:pPr>
          </w:p>
        </w:tc>
        <w:tc>
          <w:tcPr>
            <w:tcW w:w="2100" w:type="dxa"/>
            <w:vAlign w:val="center"/>
          </w:tcPr>
          <w:p w14:paraId="69AE13C9">
            <w:pPr>
              <w:jc w:val="center"/>
              <w:rPr>
                <w:rFonts w:hint="eastAsia" w:ascii="宋体" w:hAnsi="宋体" w:eastAsia="宋体" w:cs="宋体"/>
                <w:i w:val="0"/>
                <w:iCs w:val="0"/>
                <w:color w:val="000000"/>
                <w:kern w:val="0"/>
                <w:sz w:val="22"/>
                <w:szCs w:val="22"/>
                <w:u w:val="none"/>
                <w:lang w:val="en-US" w:eastAsia="zh-CN" w:bidi="ar"/>
              </w:rPr>
            </w:pPr>
          </w:p>
        </w:tc>
        <w:tc>
          <w:tcPr>
            <w:tcW w:w="2059" w:type="dxa"/>
            <w:vAlign w:val="center"/>
          </w:tcPr>
          <w:p w14:paraId="7E81BC14">
            <w:pPr>
              <w:jc w:val="center"/>
              <w:rPr>
                <w:rFonts w:hint="eastAsia" w:ascii="宋体" w:hAnsi="宋体" w:eastAsia="宋体" w:cs="宋体"/>
                <w:i w:val="0"/>
                <w:iCs w:val="0"/>
                <w:color w:val="000000"/>
                <w:kern w:val="0"/>
                <w:sz w:val="22"/>
                <w:szCs w:val="22"/>
                <w:u w:val="none"/>
                <w:lang w:val="en-US" w:eastAsia="zh-CN" w:bidi="ar"/>
              </w:rPr>
            </w:pPr>
          </w:p>
        </w:tc>
      </w:tr>
      <w:tr w14:paraId="4E10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5CBA673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78" w:type="dxa"/>
            <w:vAlign w:val="center"/>
          </w:tcPr>
          <w:p w14:paraId="641FA62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乔木A</w:t>
            </w:r>
          </w:p>
        </w:tc>
        <w:tc>
          <w:tcPr>
            <w:tcW w:w="2270" w:type="dxa"/>
            <w:vAlign w:val="center"/>
          </w:tcPr>
          <w:p w14:paraId="0BBC6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H：3m-4m</w:t>
            </w:r>
          </w:p>
        </w:tc>
        <w:tc>
          <w:tcPr>
            <w:tcW w:w="1121" w:type="dxa"/>
            <w:vAlign w:val="center"/>
          </w:tcPr>
          <w:p w14:paraId="31A14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44" w:type="dxa"/>
            <w:vAlign w:val="center"/>
          </w:tcPr>
          <w:p w14:paraId="75223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2100" w:type="dxa"/>
            <w:vAlign w:val="center"/>
          </w:tcPr>
          <w:p w14:paraId="32ACB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2059" w:type="dxa"/>
            <w:vAlign w:val="center"/>
          </w:tcPr>
          <w:p w14:paraId="16103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r>
      <w:tr w14:paraId="05AC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2C7DFA9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8" w:type="dxa"/>
            <w:vAlign w:val="center"/>
          </w:tcPr>
          <w:p w14:paraId="08FA293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乔木B</w:t>
            </w:r>
          </w:p>
        </w:tc>
        <w:tc>
          <w:tcPr>
            <w:tcW w:w="2270" w:type="dxa"/>
            <w:vAlign w:val="center"/>
          </w:tcPr>
          <w:p w14:paraId="78DD6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H：3m-4m</w:t>
            </w:r>
          </w:p>
        </w:tc>
        <w:tc>
          <w:tcPr>
            <w:tcW w:w="1121" w:type="dxa"/>
            <w:vAlign w:val="center"/>
          </w:tcPr>
          <w:p w14:paraId="77EDC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44" w:type="dxa"/>
            <w:vAlign w:val="center"/>
          </w:tcPr>
          <w:p w14:paraId="4249F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2100" w:type="dxa"/>
            <w:vAlign w:val="center"/>
          </w:tcPr>
          <w:p w14:paraId="6A106F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870</w:t>
            </w:r>
          </w:p>
        </w:tc>
        <w:tc>
          <w:tcPr>
            <w:tcW w:w="2059" w:type="dxa"/>
            <w:vAlign w:val="center"/>
          </w:tcPr>
          <w:p w14:paraId="7E2DB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13050</w:t>
            </w:r>
          </w:p>
        </w:tc>
      </w:tr>
      <w:tr w14:paraId="173E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245" w:type="dxa"/>
            <w:gridSpan w:val="7"/>
            <w:vAlign w:val="center"/>
          </w:tcPr>
          <w:p w14:paraId="48003C69">
            <w:pPr>
              <w:keepNext w:val="0"/>
              <w:keepLines w:val="0"/>
              <w:widowControl/>
              <w:suppressLineNumbers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品种说明：</w:t>
            </w:r>
            <w:r>
              <w:rPr>
                <w:rFonts w:hint="eastAsia" w:ascii="宋体" w:hAnsi="宋体" w:cs="宋体"/>
                <w:i w:val="0"/>
                <w:iCs w:val="0"/>
                <w:color w:val="auto"/>
                <w:kern w:val="0"/>
                <w:sz w:val="24"/>
                <w:szCs w:val="24"/>
                <w:u w:val="none"/>
                <w:lang w:val="en-US" w:eastAsia="zh-CN" w:bidi="ar"/>
              </w:rPr>
              <w:t>苗木</w:t>
            </w:r>
            <w:r>
              <w:rPr>
                <w:rFonts w:hint="eastAsia" w:ascii="宋体" w:hAnsi="宋体" w:eastAsia="宋体" w:cs="宋体"/>
                <w:i w:val="0"/>
                <w:iCs w:val="0"/>
                <w:color w:val="auto"/>
                <w:kern w:val="0"/>
                <w:sz w:val="24"/>
                <w:szCs w:val="24"/>
                <w:u w:val="none"/>
                <w:lang w:val="en-US" w:eastAsia="zh-CN" w:bidi="ar"/>
              </w:rPr>
              <w:t>形态完美，冠型完整，枝叶紧密度高，主枝分布均匀，苗木生长健壮，无病虫害</w:t>
            </w:r>
            <w:r>
              <w:rPr>
                <w:rFonts w:hint="eastAsia" w:ascii="宋体" w:hAnsi="宋体" w:cs="宋体"/>
                <w:i w:val="0"/>
                <w:iCs w:val="0"/>
                <w:color w:val="auto"/>
                <w:kern w:val="0"/>
                <w:sz w:val="24"/>
                <w:szCs w:val="24"/>
                <w:u w:val="none"/>
                <w:lang w:val="en-US" w:eastAsia="zh-CN" w:bidi="ar"/>
              </w:rPr>
              <w:t>。</w:t>
            </w:r>
          </w:p>
          <w:p w14:paraId="3109351E">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地被A</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台湾草、兰引三号等；</w:t>
            </w:r>
          </w:p>
          <w:p w14:paraId="1C214C37">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地被B</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台湾草、兰引三号等；</w:t>
            </w:r>
          </w:p>
          <w:p w14:paraId="093AD671">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灌木A</w:t>
            </w:r>
            <w:r>
              <w:rPr>
                <w:rFonts w:hint="eastAsia" w:ascii="宋体" w:hAnsi="宋体" w:eastAsia="宋体" w:cs="宋体"/>
                <w:i w:val="0"/>
                <w:iCs w:val="0"/>
                <w:color w:val="auto"/>
                <w:kern w:val="0"/>
                <w:sz w:val="24"/>
                <w:szCs w:val="24"/>
                <w:u w:val="none"/>
                <w:lang w:val="en-US" w:eastAsia="zh-CN" w:bidi="ar"/>
              </w:rPr>
              <w:t>：红继木、日本星花、翠芦莉等</w:t>
            </w:r>
            <w:r>
              <w:rPr>
                <w:rFonts w:hint="eastAsia" w:ascii="宋体" w:hAnsi="宋体" w:cs="宋体"/>
                <w:i w:val="0"/>
                <w:iCs w:val="0"/>
                <w:color w:val="auto"/>
                <w:kern w:val="0"/>
                <w:sz w:val="24"/>
                <w:szCs w:val="24"/>
                <w:u w:val="none"/>
                <w:lang w:val="en-US" w:eastAsia="zh-CN" w:bidi="ar"/>
              </w:rPr>
              <w:t>；</w:t>
            </w:r>
          </w:p>
          <w:p w14:paraId="5EC1DF98">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灌木B</w:t>
            </w:r>
            <w:r>
              <w:rPr>
                <w:rFonts w:hint="eastAsia" w:ascii="宋体" w:hAnsi="宋体" w:eastAsia="宋体" w:cs="宋体"/>
                <w:i w:val="0"/>
                <w:iCs w:val="0"/>
                <w:color w:val="auto"/>
                <w:kern w:val="0"/>
                <w:sz w:val="24"/>
                <w:szCs w:val="24"/>
                <w:u w:val="none"/>
                <w:lang w:val="en-US" w:eastAsia="zh-CN" w:bidi="ar"/>
              </w:rPr>
              <w:t>：鸭脚木等</w:t>
            </w:r>
            <w:r>
              <w:rPr>
                <w:rFonts w:hint="eastAsia" w:ascii="宋体" w:hAnsi="宋体" w:cs="宋体"/>
                <w:i w:val="0"/>
                <w:iCs w:val="0"/>
                <w:color w:val="auto"/>
                <w:kern w:val="0"/>
                <w:sz w:val="24"/>
                <w:szCs w:val="24"/>
                <w:u w:val="none"/>
                <w:lang w:val="en-US" w:eastAsia="zh-CN" w:bidi="ar"/>
              </w:rPr>
              <w:t>；</w:t>
            </w:r>
          </w:p>
          <w:p w14:paraId="6974E4AF">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灌木</w:t>
            </w:r>
            <w:r>
              <w:rPr>
                <w:rFonts w:hint="eastAsia" w:ascii="宋体" w:hAnsi="宋体" w:eastAsia="宋体" w:cs="宋体"/>
                <w:i w:val="0"/>
                <w:iCs w:val="0"/>
                <w:color w:val="auto"/>
                <w:kern w:val="0"/>
                <w:sz w:val="24"/>
                <w:szCs w:val="24"/>
                <w:u w:val="none"/>
                <w:lang w:val="en-US" w:eastAsia="zh-CN" w:bidi="ar"/>
              </w:rPr>
              <w:t>C：珍珠狗牙花、海桐球等</w:t>
            </w:r>
            <w:r>
              <w:rPr>
                <w:rFonts w:hint="eastAsia" w:ascii="宋体" w:hAnsi="宋体" w:cs="宋体"/>
                <w:i w:val="0"/>
                <w:iCs w:val="0"/>
                <w:color w:val="auto"/>
                <w:kern w:val="0"/>
                <w:sz w:val="24"/>
                <w:szCs w:val="24"/>
                <w:u w:val="none"/>
                <w:lang w:val="en-US" w:eastAsia="zh-CN" w:bidi="ar"/>
              </w:rPr>
              <w:t>；</w:t>
            </w:r>
          </w:p>
          <w:p w14:paraId="2178F462">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灌木</w:t>
            </w:r>
            <w:r>
              <w:rPr>
                <w:rFonts w:hint="eastAsia" w:ascii="宋体" w:hAnsi="宋体" w:eastAsia="宋体" w:cs="宋体"/>
                <w:i w:val="0"/>
                <w:iCs w:val="0"/>
                <w:color w:val="auto"/>
                <w:kern w:val="0"/>
                <w:sz w:val="24"/>
                <w:szCs w:val="24"/>
                <w:u w:val="none"/>
                <w:lang w:val="en-US" w:eastAsia="zh-CN" w:bidi="ar"/>
              </w:rPr>
              <w:t>D：</w:t>
            </w:r>
            <w:r>
              <w:rPr>
                <w:rFonts w:hint="eastAsia" w:ascii="宋体" w:hAnsi="宋体" w:cs="宋体"/>
                <w:i w:val="0"/>
                <w:iCs w:val="0"/>
                <w:color w:val="auto"/>
                <w:kern w:val="0"/>
                <w:sz w:val="24"/>
                <w:szCs w:val="24"/>
                <w:u w:val="none"/>
                <w:lang w:val="en-US" w:eastAsia="zh-CN" w:bidi="ar"/>
              </w:rPr>
              <w:t>胡椒木、鸟蕉等</w:t>
            </w:r>
          </w:p>
          <w:p w14:paraId="165AA74F">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灌木E</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火星花、山桃草、鸢尾、变叶木、小天使、雪花木、菖蒲等；</w:t>
            </w:r>
          </w:p>
          <w:p w14:paraId="11BA4FCF">
            <w:pPr>
              <w:keepNext w:val="0"/>
              <w:keepLines w:val="0"/>
              <w:widowControl/>
              <w:suppressLineNumbers w:val="0"/>
              <w:snapToGrid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灌木F</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花叶女贞等；</w:t>
            </w:r>
          </w:p>
          <w:p w14:paraId="3AA2E47B">
            <w:pPr>
              <w:keepNext w:val="0"/>
              <w:keepLines w:val="0"/>
              <w:widowControl/>
              <w:suppressLineNumbers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乔木A</w:t>
            </w:r>
            <w:r>
              <w:rPr>
                <w:rFonts w:hint="eastAsia" w:ascii="宋体" w:hAnsi="宋体" w:eastAsia="宋体" w:cs="宋体"/>
                <w:i w:val="0"/>
                <w:iCs w:val="0"/>
                <w:color w:val="auto"/>
                <w:kern w:val="0"/>
                <w:sz w:val="24"/>
                <w:szCs w:val="24"/>
                <w:u w:val="none"/>
                <w:lang w:val="en-US" w:eastAsia="zh-CN" w:bidi="ar"/>
              </w:rPr>
              <w:t>：细叶榄仁、罗汉松等</w:t>
            </w:r>
            <w:r>
              <w:rPr>
                <w:rFonts w:hint="eastAsia" w:ascii="宋体" w:hAnsi="宋体" w:cs="宋体"/>
                <w:i w:val="0"/>
                <w:iCs w:val="0"/>
                <w:color w:val="auto"/>
                <w:kern w:val="0"/>
                <w:sz w:val="24"/>
                <w:szCs w:val="24"/>
                <w:u w:val="none"/>
                <w:lang w:val="en-US" w:eastAsia="zh-CN" w:bidi="ar"/>
              </w:rPr>
              <w:t>；</w:t>
            </w:r>
          </w:p>
          <w:p w14:paraId="724F5844">
            <w:pPr>
              <w:keepNext w:val="0"/>
              <w:keepLines w:val="0"/>
              <w:widowControl/>
              <w:suppressLineNumbers w:val="0"/>
              <w:snapToGrid w:val="0"/>
              <w:jc w:val="left"/>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乔木B：南洋楹等。</w:t>
            </w:r>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lang w:val="en-US" w:eastAsia="zh-CN"/>
          <w14:textFill>
            <w14:solidFill>
              <w14:schemeClr w14:val="tx1"/>
            </w14:solidFill>
          </w14:textFill>
        </w:rPr>
        <w:t>2025年第32届广州园林博览会专项经费（秋季专场）</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交付时间：</w:t>
      </w:r>
      <w:r>
        <w:rPr>
          <w:rFonts w:hint="eastAsia" w:asciiTheme="minorEastAsia" w:hAnsiTheme="minorEastAsia" w:eastAsiaTheme="minorEastAsia" w:cstheme="minorEastAsia"/>
          <w:sz w:val="28"/>
          <w:szCs w:val="28"/>
          <w:highlight w:val="none"/>
          <w:lang w:val="en-US" w:eastAsia="zh-CN"/>
        </w:rPr>
        <w:t>2025年 10 月 22 日18</w:t>
      </w:r>
      <w:bookmarkStart w:id="0" w:name="_GoBack"/>
      <w:bookmarkEnd w:id="0"/>
      <w:r>
        <w:rPr>
          <w:rFonts w:hint="eastAsia" w:asciiTheme="minorEastAsia" w:hAnsiTheme="minorEastAsia" w:eastAsiaTheme="minorEastAsia" w:cstheme="minorEastAsia"/>
          <w:sz w:val="28"/>
          <w:szCs w:val="28"/>
          <w:highlight w:val="none"/>
          <w:lang w:val="en-US" w:eastAsia="zh-CN"/>
        </w:rPr>
        <w:t>点</w:t>
      </w:r>
      <w:r>
        <w:rPr>
          <w:rFonts w:hint="eastAsia"/>
          <w:sz w:val="28"/>
          <w:szCs w:val="28"/>
          <w:highlight w:val="none"/>
          <w:lang w:val="en-US" w:eastAsia="zh-CN"/>
        </w:rPr>
        <w:t>00</w:t>
      </w:r>
      <w:r>
        <w:rPr>
          <w:rFonts w:hint="eastAsia"/>
          <w:sz w:val="28"/>
          <w:szCs w:val="28"/>
          <w:highlight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预付款：在合同签订后，采购人向成交供应商支付合同总额的50%作为预付款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bidi="ar"/>
        </w:rPr>
        <w:t>成交供应商提交请款资料后，采购人才可办理支付手续，付款时限以采购人办理资金拨付审批手续的时间点为准</w:t>
      </w:r>
      <w:r>
        <w:rPr>
          <w:rFonts w:hint="eastAsia" w:asciiTheme="minorEastAsia" w:hAnsiTheme="minorEastAsia" w:eastAsiaTheme="minorEastAsia" w:cstheme="minorEastAsia"/>
          <w:sz w:val="28"/>
          <w:szCs w:val="28"/>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进度款：</w:t>
      </w:r>
      <w:r>
        <w:rPr>
          <w:rFonts w:hint="eastAsia" w:asciiTheme="minorEastAsia" w:hAnsiTheme="minorEastAsia" w:eastAsiaTheme="minorEastAsia" w:cstheme="minorEastAsia"/>
          <w:sz w:val="28"/>
          <w:szCs w:val="28"/>
          <w:lang w:val="en-US" w:eastAsia="zh-CN" w:bidi="ar"/>
        </w:rPr>
        <w:t>进度款先行抵扣预付款，直至所有预付款抵扣完毕，</w:t>
      </w:r>
      <w:r>
        <w:rPr>
          <w:rFonts w:hint="eastAsia" w:asciiTheme="minorEastAsia" w:hAnsiTheme="minorEastAsia" w:eastAsiaTheme="minorEastAsia" w:cstheme="minorEastAsia"/>
          <w:sz w:val="28"/>
          <w:szCs w:val="28"/>
        </w:rPr>
        <w:t>在成交供应商供货金额超过合同总额的50%后，实行按</w:t>
      </w:r>
      <w:r>
        <w:rPr>
          <w:rFonts w:hint="eastAsia" w:asciiTheme="minorEastAsia" w:hAnsiTheme="minorEastAsia" w:eastAsiaTheme="minorEastAsia" w:cstheme="minorEastAsia"/>
          <w:sz w:val="28"/>
          <w:szCs w:val="28"/>
          <w:lang w:val="en-US" w:eastAsia="zh-CN"/>
        </w:rPr>
        <w:t>进度</w:t>
      </w:r>
      <w:r>
        <w:rPr>
          <w:rFonts w:hint="eastAsia" w:asciiTheme="minorEastAsia" w:hAnsiTheme="minorEastAsia" w:eastAsiaTheme="minorEastAsia" w:cstheme="minorEastAsia"/>
          <w:sz w:val="28"/>
          <w:szCs w:val="28"/>
        </w:rPr>
        <w:t>结算，</w:t>
      </w:r>
      <w:r>
        <w:rPr>
          <w:rFonts w:hint="eastAsia" w:asciiTheme="minorEastAsia" w:hAnsiTheme="minorEastAsia" w:eastAsiaTheme="minorEastAsia" w:cstheme="minorEastAsia"/>
          <w:sz w:val="28"/>
          <w:szCs w:val="28"/>
          <w:lang w:val="en-US" w:eastAsia="zh-CN"/>
        </w:rPr>
        <w:t>每次需结算进度款前</w:t>
      </w:r>
      <w:r>
        <w:rPr>
          <w:rFonts w:hint="eastAsia" w:asciiTheme="minorEastAsia" w:hAnsiTheme="minorEastAsia" w:eastAsiaTheme="minorEastAsia" w:cstheme="minorEastAsia"/>
          <w:sz w:val="28"/>
          <w:szCs w:val="28"/>
        </w:rPr>
        <w:t>，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w:t>
      </w:r>
      <w:r>
        <w:rPr>
          <w:rFonts w:hint="eastAsia" w:asciiTheme="minorEastAsia" w:hAnsiTheme="minorEastAsia" w:eastAsiaTheme="minorEastAsia" w:cstheme="minorEastAsia"/>
          <w:sz w:val="28"/>
          <w:szCs w:val="28"/>
          <w:lang w:val="en-US" w:eastAsia="zh-CN"/>
        </w:rPr>
        <w:t>发票需提供自产自销农产品增值税发票或增值税专用发票。</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w:t>
      </w:r>
      <w:r>
        <w:rPr>
          <w:rFonts w:hint="eastAsia" w:asciiTheme="minorEastAsia" w:hAnsiTheme="minorEastAsia" w:eastAsiaTheme="minorEastAsia" w:cstheme="minorEastAsia"/>
          <w:sz w:val="28"/>
          <w:szCs w:val="28"/>
          <w:lang w:val="en-US" w:eastAsia="zh-CN"/>
        </w:rPr>
        <w:t>流程</w:t>
      </w:r>
      <w:r>
        <w:rPr>
          <w:rFonts w:hint="eastAsia" w:asciiTheme="minorEastAsia" w:hAnsiTheme="minorEastAsia" w:eastAsiaTheme="minorEastAsia" w:cstheme="minorEastAsia"/>
          <w:sz w:val="28"/>
          <w:szCs w:val="28"/>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4.履约验收内容</w:t>
      </w:r>
    </w:p>
    <w:p w14:paraId="3A2A68A5">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验收按国家有关的规定、规范进行。验收时如发现所交付的</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有次品、损坏或其它不符合</w:t>
      </w:r>
      <w:r>
        <w:rPr>
          <w:rFonts w:hint="eastAsia" w:asciiTheme="minorEastAsia" w:hAnsiTheme="minorEastAsia" w:eastAsiaTheme="minorEastAsia" w:cstheme="minorEastAsia"/>
          <w:color w:val="auto"/>
          <w:sz w:val="28"/>
          <w:szCs w:val="28"/>
          <w:highlight w:val="none"/>
          <w:u w:val="none"/>
          <w:lang w:val="en-US" w:eastAsia="zh-CN" w:bidi="ar"/>
        </w:rPr>
        <w:t>本</w:t>
      </w:r>
      <w:r>
        <w:rPr>
          <w:rFonts w:hint="eastAsia" w:asciiTheme="minorEastAsia" w:hAnsiTheme="minorEastAsia" w:eastAsiaTheme="minorEastAsia" w:cstheme="minorEastAsia"/>
          <w:color w:val="auto"/>
          <w:sz w:val="28"/>
          <w:szCs w:val="28"/>
          <w:highlight w:val="none"/>
          <w:u w:val="none"/>
          <w:lang w:bidi="ar"/>
        </w:rPr>
        <w:t>合同规定之情形者，采购人应做出详尽的现场记录，或由采购人、</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双方签署备忘录。此现场记录或备忘录可用作补充、缺失和更换损坏</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的有效证据。若造成迟延供货，</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应承担迟延供货的法律责任。</w:t>
      </w:r>
    </w:p>
    <w:p w14:paraId="222D70E9">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bidi="ar"/>
        </w:rPr>
        <w:t>如果运输过程中因事故造成</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短缺、损坏，</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应及时安排换装</w:t>
      </w:r>
      <w:r>
        <w:rPr>
          <w:rFonts w:hint="eastAsia" w:asciiTheme="minorEastAsia" w:hAnsiTheme="minorEastAsia" w:eastAsiaTheme="minorEastAsia" w:cstheme="minorEastAsia"/>
          <w:color w:val="auto"/>
          <w:sz w:val="28"/>
          <w:szCs w:val="28"/>
          <w:highlight w:val="none"/>
          <w:u w:val="none"/>
          <w:lang w:val="en-US" w:eastAsia="zh-CN" w:bidi="ar"/>
        </w:rPr>
        <w:t>并承担相应开销</w:t>
      </w:r>
      <w:r>
        <w:rPr>
          <w:rFonts w:hint="eastAsia" w:asciiTheme="minorEastAsia" w:hAnsiTheme="minorEastAsia" w:eastAsiaTheme="minorEastAsia" w:cstheme="minorEastAsia"/>
          <w:color w:val="auto"/>
          <w:sz w:val="28"/>
          <w:szCs w:val="28"/>
          <w:highlight w:val="none"/>
          <w:u w:val="none"/>
          <w:lang w:bidi="ar"/>
        </w:rPr>
        <w:t>，</w:t>
      </w:r>
      <w:r>
        <w:rPr>
          <w:rFonts w:hint="eastAsia" w:asciiTheme="minorEastAsia" w:hAnsiTheme="minorEastAsia" w:eastAsiaTheme="minorEastAsia" w:cstheme="minorEastAsia"/>
          <w:color w:val="auto"/>
          <w:sz w:val="28"/>
          <w:szCs w:val="28"/>
          <w:highlight w:val="none"/>
          <w:u w:val="none"/>
          <w:lang w:val="en-US" w:eastAsia="zh-CN"/>
        </w:rPr>
        <w:t>确保供货</w:t>
      </w:r>
      <w:r>
        <w:rPr>
          <w:rFonts w:hint="eastAsia" w:asciiTheme="minorEastAsia" w:hAnsiTheme="minorEastAsia" w:eastAsiaTheme="minorEastAsia" w:cstheme="minorEastAsia"/>
          <w:color w:val="auto"/>
          <w:sz w:val="28"/>
          <w:szCs w:val="28"/>
          <w:highlight w:val="none"/>
          <w:u w:val="none"/>
          <w:lang w:bidi="ar"/>
        </w:rPr>
        <w:t>成功完成。如在验收过程中，出现需要协调的时候，由采购人组织的协调小组进行协调。</w:t>
      </w:r>
    </w:p>
    <w:p w14:paraId="27973FA6">
      <w:pPr>
        <w:widowControl w:val="0"/>
        <w:numPr>
          <w:ilvl w:val="0"/>
          <w:numId w:val="0"/>
        </w:num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color w:val="auto"/>
          <w:sz w:val="28"/>
          <w:szCs w:val="28"/>
          <w:highlight w:val="none"/>
          <w:u w:val="none"/>
        </w:rPr>
        <w:t>（3）</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规格符合采购人需求，采购的</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须具备土球完好、植株健康、冠形完整、无病虫害等要求；现场验收时</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存活率须达到100%，满足采购人下达的《采购清单》要求，且符合相关规定。</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3521D072">
      <w:pPr>
        <w:pStyle w:val="14"/>
        <w:rPr>
          <w:rFonts w:hint="default" w:ascii="Comic Sans MS" w:hAnsi="Comic Sans MS" w:eastAsia="Arial Unicode MS" w:cs="Arial"/>
          <w:i/>
          <w:color w:val="auto"/>
          <w:sz w:val="16"/>
          <w:szCs w:val="16"/>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57156"/>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3653EFA"/>
    <w:rsid w:val="038B022B"/>
    <w:rsid w:val="03A86AC5"/>
    <w:rsid w:val="04D1625D"/>
    <w:rsid w:val="055D54E7"/>
    <w:rsid w:val="05822021"/>
    <w:rsid w:val="061C715B"/>
    <w:rsid w:val="06AC4284"/>
    <w:rsid w:val="09896468"/>
    <w:rsid w:val="09AC6CF1"/>
    <w:rsid w:val="0ABC5428"/>
    <w:rsid w:val="0BD8017E"/>
    <w:rsid w:val="0E87566C"/>
    <w:rsid w:val="0F240322"/>
    <w:rsid w:val="10BA5A9D"/>
    <w:rsid w:val="1158509E"/>
    <w:rsid w:val="1497026D"/>
    <w:rsid w:val="14E46507"/>
    <w:rsid w:val="16297D66"/>
    <w:rsid w:val="16DB2490"/>
    <w:rsid w:val="16FE2244"/>
    <w:rsid w:val="17344DE4"/>
    <w:rsid w:val="179B7EB4"/>
    <w:rsid w:val="186A36C0"/>
    <w:rsid w:val="19124356"/>
    <w:rsid w:val="19A14C1F"/>
    <w:rsid w:val="1A8E7D82"/>
    <w:rsid w:val="1B1738D4"/>
    <w:rsid w:val="1BB1687E"/>
    <w:rsid w:val="1C2B185E"/>
    <w:rsid w:val="1C874A89"/>
    <w:rsid w:val="1CEC049A"/>
    <w:rsid w:val="1DF168C0"/>
    <w:rsid w:val="1EF851F2"/>
    <w:rsid w:val="1F8F5FAF"/>
    <w:rsid w:val="1FB778FC"/>
    <w:rsid w:val="1FE47ADF"/>
    <w:rsid w:val="20BD7970"/>
    <w:rsid w:val="20D05DB2"/>
    <w:rsid w:val="20F06D17"/>
    <w:rsid w:val="20FA470D"/>
    <w:rsid w:val="223137A7"/>
    <w:rsid w:val="2367766A"/>
    <w:rsid w:val="236819A8"/>
    <w:rsid w:val="244E28B6"/>
    <w:rsid w:val="27A87E6E"/>
    <w:rsid w:val="281608A8"/>
    <w:rsid w:val="2A8077CD"/>
    <w:rsid w:val="2B106FAF"/>
    <w:rsid w:val="2B9B099A"/>
    <w:rsid w:val="2D115CD2"/>
    <w:rsid w:val="2D892A24"/>
    <w:rsid w:val="2DEF3EF8"/>
    <w:rsid w:val="2E285745"/>
    <w:rsid w:val="2EA2695A"/>
    <w:rsid w:val="2F7C41F6"/>
    <w:rsid w:val="30CA52E9"/>
    <w:rsid w:val="34211293"/>
    <w:rsid w:val="347A51A8"/>
    <w:rsid w:val="34C65624"/>
    <w:rsid w:val="35B00755"/>
    <w:rsid w:val="35D439AC"/>
    <w:rsid w:val="37F708BD"/>
    <w:rsid w:val="38FE5354"/>
    <w:rsid w:val="39607F31"/>
    <w:rsid w:val="3A550975"/>
    <w:rsid w:val="3AE57D2D"/>
    <w:rsid w:val="3B235C9E"/>
    <w:rsid w:val="3CC527C1"/>
    <w:rsid w:val="3CE73FFB"/>
    <w:rsid w:val="3D5855B3"/>
    <w:rsid w:val="40D814C3"/>
    <w:rsid w:val="414A7CB0"/>
    <w:rsid w:val="41AC2A51"/>
    <w:rsid w:val="42B671D5"/>
    <w:rsid w:val="43D9531B"/>
    <w:rsid w:val="45BB4E21"/>
    <w:rsid w:val="45F203CC"/>
    <w:rsid w:val="489F5BDF"/>
    <w:rsid w:val="48B41B3C"/>
    <w:rsid w:val="4B9F6E4A"/>
    <w:rsid w:val="4BC62629"/>
    <w:rsid w:val="4C480BC5"/>
    <w:rsid w:val="4D311ADB"/>
    <w:rsid w:val="4DFB3652"/>
    <w:rsid w:val="4F6D4491"/>
    <w:rsid w:val="4F831A5D"/>
    <w:rsid w:val="4FBA5638"/>
    <w:rsid w:val="50FF15CE"/>
    <w:rsid w:val="52B7608C"/>
    <w:rsid w:val="534740C2"/>
    <w:rsid w:val="540B7771"/>
    <w:rsid w:val="563F54B2"/>
    <w:rsid w:val="5651762B"/>
    <w:rsid w:val="57B54CF4"/>
    <w:rsid w:val="57F33918"/>
    <w:rsid w:val="58186F97"/>
    <w:rsid w:val="5DC170F4"/>
    <w:rsid w:val="5DEF61CF"/>
    <w:rsid w:val="5E6E2D65"/>
    <w:rsid w:val="5F5F6D6A"/>
    <w:rsid w:val="5FC16FA8"/>
    <w:rsid w:val="60866BC3"/>
    <w:rsid w:val="620174D7"/>
    <w:rsid w:val="624B4453"/>
    <w:rsid w:val="62842D4E"/>
    <w:rsid w:val="63417E63"/>
    <w:rsid w:val="64E01F91"/>
    <w:rsid w:val="64F61535"/>
    <w:rsid w:val="65C74E59"/>
    <w:rsid w:val="666E3CFC"/>
    <w:rsid w:val="66ED2D08"/>
    <w:rsid w:val="679A383B"/>
    <w:rsid w:val="68562439"/>
    <w:rsid w:val="68624CAF"/>
    <w:rsid w:val="696F5806"/>
    <w:rsid w:val="6B95189C"/>
    <w:rsid w:val="6D8D6C01"/>
    <w:rsid w:val="6F173018"/>
    <w:rsid w:val="703B2D36"/>
    <w:rsid w:val="70E66A6F"/>
    <w:rsid w:val="712727F0"/>
    <w:rsid w:val="715C0F73"/>
    <w:rsid w:val="71E534AD"/>
    <w:rsid w:val="724F1412"/>
    <w:rsid w:val="737230F7"/>
    <w:rsid w:val="74597B59"/>
    <w:rsid w:val="75853A5B"/>
    <w:rsid w:val="75F406CA"/>
    <w:rsid w:val="760442A1"/>
    <w:rsid w:val="76167048"/>
    <w:rsid w:val="764566BC"/>
    <w:rsid w:val="765D6045"/>
    <w:rsid w:val="77512E3F"/>
    <w:rsid w:val="78B65A6F"/>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2021</Words>
  <Characters>2192</Characters>
  <Lines>16</Lines>
  <Paragraphs>4</Paragraphs>
  <TotalTime>4</TotalTime>
  <ScaleCrop>false</ScaleCrop>
  <LinksUpToDate>false</LinksUpToDate>
  <CharactersWithSpaces>2198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冇解</cp:lastModifiedBy>
  <cp:lastPrinted>2025-10-17T02:10:00Z</cp:lastPrinted>
  <dcterms:modified xsi:type="dcterms:W3CDTF">2025-10-20T07:54:18Z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eyJoZGlkIjoiNGZlOTIxMzVhMWU4NzIxMGRlN2FmNzljYmNjOGE0MDYiLCJ1c2VySWQiOiIzMzQ5NDk4NDIifQ==</vt:lpwstr>
  </property>
  <property fmtid="{D5CDD505-2E9C-101B-9397-08002B2CF9AE}" pid="4" name="ICV">
    <vt:lpwstr>0BE4347AEE7E46D9A1D03EF797F399C3_13</vt:lpwstr>
  </property>
</Properties>
</file>