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1B5A">
      <w:pPr>
        <w:rPr>
          <w:rFonts w:hint="eastAsia"/>
          <w:lang w:val="en-US" w:eastAsia="zh-CN"/>
        </w:rPr>
      </w:pPr>
    </w:p>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049779FC">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黑体" w:hAnsi="黑体" w:cs="宋体"/>
          <w:sz w:val="28"/>
          <w:szCs w:val="28"/>
        </w:rPr>
        <w:t>城市重要干道及节点美化增色花卉布置（标段一）施工</w:t>
      </w:r>
      <w:r>
        <w:rPr>
          <w:rFonts w:hint="eastAsia" w:ascii="黑体" w:hAnsi="黑体" w:cs="宋体"/>
          <w:b w:val="0"/>
          <w:sz w:val="28"/>
          <w:szCs w:val="28"/>
          <w:lang w:val="en-US" w:eastAsia="zh-CN"/>
        </w:rPr>
        <w:t>劳务服务采购（一）</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 xml:space="preserve">本项目采购预算为人民币 </w:t>
      </w:r>
      <w:r>
        <w:rPr>
          <w:rFonts w:hint="eastAsia" w:cs="Times New Roman"/>
          <w:sz w:val="28"/>
          <w:szCs w:val="28"/>
          <w:lang w:val="en-US" w:eastAsia="zh-CN"/>
        </w:rPr>
        <w:t>989,900.00</w:t>
      </w:r>
      <w:r>
        <w:rPr>
          <w:rFonts w:hint="eastAsia" w:asciiTheme="minorEastAsia" w:hAnsiTheme="minorEastAsia" w:eastAsiaTheme="minorEastAsia" w:cs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253A6CC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（一）服务类​</w:t>
      </w:r>
    </w:p>
    <w:p w14:paraId="383A605F">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服务内容：</w:t>
      </w:r>
      <w:r>
        <w:rPr>
          <w:rFonts w:hint="eastAsia" w:asciiTheme="minorEastAsia" w:hAnsiTheme="minorEastAsia" w:eastAsiaTheme="minorEastAsia" w:cstheme="minorEastAsia"/>
          <w:sz w:val="28"/>
          <w:szCs w:val="28"/>
          <w:lang w:val="en-US" w:eastAsia="zh-CN"/>
        </w:rPr>
        <w:t>提供</w:t>
      </w:r>
      <w:r>
        <w:rPr>
          <w:rFonts w:hint="eastAsia" w:asciiTheme="minorEastAsia" w:hAnsiTheme="minorEastAsia" w:eastAsiaTheme="minorEastAsia" w:cstheme="minorEastAsia"/>
          <w:sz w:val="28"/>
          <w:szCs w:val="28"/>
        </w:rPr>
        <w:t>城市重要干道及节点美化增色花卉布置（标段一）施工</w:t>
      </w:r>
      <w:r>
        <w:rPr>
          <w:rFonts w:hint="eastAsia" w:asciiTheme="minorEastAsia" w:hAnsiTheme="minorEastAsia" w:eastAsiaTheme="minorEastAsia" w:cstheme="minorEastAsia"/>
          <w:sz w:val="28"/>
          <w:szCs w:val="28"/>
          <w:lang w:val="en-US" w:eastAsia="zh-CN"/>
        </w:rPr>
        <w:t>项目的</w:t>
      </w:r>
      <w:r>
        <w:rPr>
          <w:rFonts w:hint="eastAsia" w:asciiTheme="minorEastAsia" w:hAnsiTheme="minorEastAsia" w:eastAsiaTheme="minorEastAsia" w:cstheme="minorEastAsia"/>
          <w:sz w:val="28"/>
          <w:szCs w:val="28"/>
          <w:highlight w:val="none"/>
          <w:lang w:val="en-US" w:eastAsia="zh-CN"/>
        </w:rPr>
        <w:t>苗木种植、修剪、除病虫害</w:t>
      </w:r>
      <w:r>
        <w:rPr>
          <w:rFonts w:hint="eastAsia" w:asciiTheme="minorEastAsia" w:hAnsiTheme="minorEastAsia" w:eastAsiaTheme="minorEastAsia" w:cstheme="minorEastAsia"/>
          <w:sz w:val="28"/>
          <w:szCs w:val="28"/>
          <w:lang w:val="en-US" w:eastAsia="zh-CN"/>
        </w:rPr>
        <w:t>等劳务服务工作。</w:t>
      </w:r>
    </w:p>
    <w:p w14:paraId="07525D4F">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服务清单：</w:t>
      </w:r>
    </w:p>
    <w:tbl>
      <w:tblPr>
        <w:tblStyle w:val="20"/>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614"/>
        <w:gridCol w:w="1663"/>
        <w:gridCol w:w="2690"/>
        <w:gridCol w:w="1745"/>
      </w:tblGrid>
      <w:tr w14:paraId="6E08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18A0E173">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614" w:type="dxa"/>
            <w:shd w:val="clear" w:color="auto" w:fill="auto"/>
            <w:vAlign w:val="top"/>
          </w:tcPr>
          <w:p w14:paraId="205A9633">
            <w:pPr>
              <w:widowControl w:val="0"/>
              <w:spacing w:line="520" w:lineRule="exact"/>
              <w:ind w:left="0" w:leftChars="0" w:firstLineChars="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工种</w:t>
            </w:r>
          </w:p>
        </w:tc>
        <w:tc>
          <w:tcPr>
            <w:tcW w:w="1663" w:type="dxa"/>
          </w:tcPr>
          <w:p w14:paraId="32B8FB56">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服务数量</w:t>
            </w:r>
          </w:p>
        </w:tc>
        <w:tc>
          <w:tcPr>
            <w:tcW w:w="2690" w:type="dxa"/>
          </w:tcPr>
          <w:p w14:paraId="5AF78FE3">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服务综合单价限价（元）</w:t>
            </w:r>
          </w:p>
        </w:tc>
        <w:tc>
          <w:tcPr>
            <w:tcW w:w="1745" w:type="dxa"/>
          </w:tcPr>
          <w:p w14:paraId="5D409FB8">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合价（元）</w:t>
            </w:r>
          </w:p>
        </w:tc>
      </w:tr>
      <w:tr w14:paraId="7846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57AAAF61">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614" w:type="dxa"/>
            <w:shd w:val="clear" w:color="auto" w:fill="auto"/>
            <w:vAlign w:val="top"/>
          </w:tcPr>
          <w:p w14:paraId="35429C3D">
            <w:pPr>
              <w:pStyle w:val="14"/>
              <w:ind w:left="220" w:leftChars="0"/>
              <w:jc w:val="center"/>
              <w:rPr>
                <w:rFonts w:hint="eastAsia" w:cs="Times New Roman" w:asciiTheme="minorHAnsi" w:hAnsiTheme="minorHAnsi" w:eastAsiaTheme="minorEastAsia"/>
                <w:kern w:val="0"/>
                <w:sz w:val="28"/>
                <w:szCs w:val="28"/>
                <w:vertAlign w:val="baseline"/>
                <w:lang w:val="en-US" w:eastAsia="zh-CN" w:bidi="ar-SA"/>
              </w:rPr>
            </w:pPr>
            <w:r>
              <w:rPr>
                <w:rFonts w:hint="eastAsia"/>
                <w:sz w:val="28"/>
                <w:szCs w:val="28"/>
                <w:vertAlign w:val="baseline"/>
                <w:lang w:val="en-US" w:eastAsia="zh-CN"/>
              </w:rPr>
              <w:t>普工</w:t>
            </w:r>
          </w:p>
        </w:tc>
        <w:tc>
          <w:tcPr>
            <w:tcW w:w="1663" w:type="dxa"/>
          </w:tcPr>
          <w:p w14:paraId="4B4131AA">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1000工日</w:t>
            </w:r>
          </w:p>
        </w:tc>
        <w:tc>
          <w:tcPr>
            <w:tcW w:w="2690" w:type="dxa"/>
            <w:vAlign w:val="center"/>
          </w:tcPr>
          <w:p w14:paraId="64BE4B50">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i w:val="0"/>
                <w:iCs w:val="0"/>
                <w:color w:val="auto"/>
                <w:kern w:val="2"/>
                <w:sz w:val="28"/>
                <w:szCs w:val="28"/>
                <w:u w:val="none"/>
                <w:lang w:val="en-US" w:eastAsia="zh-CN" w:bidi="ar"/>
              </w:rPr>
              <w:t>260</w:t>
            </w:r>
          </w:p>
        </w:tc>
        <w:tc>
          <w:tcPr>
            <w:tcW w:w="1745" w:type="dxa"/>
            <w:vAlign w:val="center"/>
          </w:tcPr>
          <w:p w14:paraId="0EC1072B">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i w:val="0"/>
                <w:iCs w:val="0"/>
                <w:color w:val="auto"/>
                <w:kern w:val="2"/>
                <w:sz w:val="28"/>
                <w:szCs w:val="28"/>
                <w:u w:val="none"/>
                <w:lang w:val="en-US" w:eastAsia="zh-CN" w:bidi="ar"/>
              </w:rPr>
              <w:t>260000</w:t>
            </w:r>
          </w:p>
        </w:tc>
      </w:tr>
      <w:tr w14:paraId="260A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74709994">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614" w:type="dxa"/>
            <w:shd w:val="clear" w:color="auto" w:fill="auto"/>
            <w:vAlign w:val="top"/>
          </w:tcPr>
          <w:p w14:paraId="7594BDAD">
            <w:pPr>
              <w:pStyle w:val="14"/>
              <w:ind w:left="220" w:leftChars="0"/>
              <w:jc w:val="center"/>
              <w:rPr>
                <w:rFonts w:hint="eastAsia" w:cs="Times New Roman" w:asciiTheme="minorHAnsi" w:hAnsiTheme="minorHAnsi" w:eastAsiaTheme="minorEastAsia"/>
                <w:kern w:val="0"/>
                <w:sz w:val="28"/>
                <w:szCs w:val="28"/>
                <w:vertAlign w:val="baseline"/>
                <w:lang w:val="en-US" w:eastAsia="zh-CN" w:bidi="ar-SA"/>
              </w:rPr>
            </w:pPr>
            <w:r>
              <w:rPr>
                <w:rFonts w:hint="eastAsia"/>
                <w:sz w:val="28"/>
                <w:szCs w:val="28"/>
                <w:vertAlign w:val="baseline"/>
                <w:lang w:val="en-US" w:eastAsia="zh-CN"/>
              </w:rPr>
              <w:t>绿化工</w:t>
            </w:r>
          </w:p>
        </w:tc>
        <w:tc>
          <w:tcPr>
            <w:tcW w:w="1663" w:type="dxa"/>
          </w:tcPr>
          <w:p w14:paraId="290A5AB3">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2500工日</w:t>
            </w:r>
          </w:p>
        </w:tc>
        <w:tc>
          <w:tcPr>
            <w:tcW w:w="2690" w:type="dxa"/>
            <w:vAlign w:val="center"/>
          </w:tcPr>
          <w:p w14:paraId="503C278B">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i w:val="0"/>
                <w:iCs w:val="0"/>
                <w:color w:val="auto"/>
                <w:kern w:val="2"/>
                <w:sz w:val="28"/>
                <w:szCs w:val="28"/>
                <w:u w:val="none"/>
                <w:lang w:val="en-US" w:eastAsia="zh-CN" w:bidi="ar"/>
              </w:rPr>
              <w:t>280</w:t>
            </w:r>
          </w:p>
        </w:tc>
        <w:tc>
          <w:tcPr>
            <w:tcW w:w="1745" w:type="dxa"/>
            <w:vAlign w:val="center"/>
          </w:tcPr>
          <w:p w14:paraId="53C03647">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i w:val="0"/>
                <w:iCs w:val="0"/>
                <w:color w:val="auto"/>
                <w:kern w:val="2"/>
                <w:sz w:val="28"/>
                <w:szCs w:val="28"/>
                <w:u w:val="none"/>
                <w:lang w:val="en-US" w:eastAsia="zh-CN" w:bidi="ar"/>
              </w:rPr>
              <w:t>700000</w:t>
            </w:r>
          </w:p>
        </w:tc>
      </w:tr>
      <w:tr w14:paraId="0511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561E2FD7">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w:t>
            </w:r>
          </w:p>
        </w:tc>
        <w:tc>
          <w:tcPr>
            <w:tcW w:w="1614" w:type="dxa"/>
            <w:shd w:val="clear" w:color="auto" w:fill="auto"/>
            <w:vAlign w:val="top"/>
          </w:tcPr>
          <w:p w14:paraId="5D781652">
            <w:pPr>
              <w:pStyle w:val="14"/>
              <w:ind w:left="220" w:leftChars="0"/>
              <w:jc w:val="center"/>
              <w:rPr>
                <w:rFonts w:hint="eastAsia" w:cs="Times New Roman" w:asciiTheme="minorHAnsi" w:hAnsiTheme="minorHAnsi" w:eastAsiaTheme="minorEastAsia"/>
                <w:kern w:val="0"/>
                <w:sz w:val="28"/>
                <w:szCs w:val="28"/>
                <w:vertAlign w:val="baseline"/>
                <w:lang w:val="en-US" w:eastAsia="zh-CN" w:bidi="ar-SA"/>
              </w:rPr>
            </w:pPr>
            <w:r>
              <w:rPr>
                <w:rFonts w:hint="eastAsia"/>
                <w:sz w:val="28"/>
                <w:szCs w:val="28"/>
                <w:vertAlign w:val="baseline"/>
                <w:lang w:val="en-US" w:eastAsia="zh-CN"/>
              </w:rPr>
              <w:t>搬运工</w:t>
            </w:r>
          </w:p>
        </w:tc>
        <w:tc>
          <w:tcPr>
            <w:tcW w:w="1663" w:type="dxa"/>
          </w:tcPr>
          <w:p w14:paraId="3E7F1066">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115工日</w:t>
            </w:r>
          </w:p>
        </w:tc>
        <w:tc>
          <w:tcPr>
            <w:tcW w:w="2690" w:type="dxa"/>
            <w:vAlign w:val="center"/>
          </w:tcPr>
          <w:p w14:paraId="49454403">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i w:val="0"/>
                <w:iCs w:val="0"/>
                <w:color w:val="auto"/>
                <w:kern w:val="2"/>
                <w:sz w:val="28"/>
                <w:szCs w:val="28"/>
                <w:u w:val="none"/>
                <w:lang w:val="en-US" w:eastAsia="zh-CN" w:bidi="ar"/>
              </w:rPr>
              <w:t>260</w:t>
            </w:r>
          </w:p>
        </w:tc>
        <w:tc>
          <w:tcPr>
            <w:tcW w:w="1745" w:type="dxa"/>
            <w:vAlign w:val="center"/>
          </w:tcPr>
          <w:p w14:paraId="24C02621">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i w:val="0"/>
                <w:iCs w:val="0"/>
                <w:color w:val="auto"/>
                <w:kern w:val="2"/>
                <w:sz w:val="28"/>
                <w:szCs w:val="28"/>
                <w:u w:val="none"/>
                <w:lang w:val="en-US" w:eastAsia="zh-CN" w:bidi="ar"/>
              </w:rPr>
              <w:t>29900</w:t>
            </w:r>
          </w:p>
        </w:tc>
      </w:tr>
    </w:tbl>
    <w:p w14:paraId="25CE2A90">
      <w:pPr>
        <w:pageBreakBefore w:val="0"/>
        <w:widowControl/>
        <w:numPr>
          <w:ilvl w:val="0"/>
          <w:numId w:val="0"/>
        </w:numPr>
        <w:kinsoku/>
        <w:wordWrap/>
        <w:overflowPunct/>
        <w:topLinePunct w:val="0"/>
        <w:bidi w:val="0"/>
        <w:snapToGrid/>
        <w:spacing w:line="24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供应商须按照《采购需求》的项目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清单内容进行报价，</w:t>
      </w:r>
      <w:r>
        <w:rPr>
          <w:rFonts w:hint="eastAsia" w:ascii="宋体" w:hAnsi="宋体" w:eastAsia="宋体" w:cs="宋体"/>
          <w:b/>
          <w:bCs/>
          <w:color w:val="000000" w:themeColor="text1"/>
          <w:sz w:val="24"/>
          <w:szCs w:val="24"/>
          <w:highlight w:val="none"/>
          <w14:textFill>
            <w14:solidFill>
              <w14:schemeClr w14:val="tx1"/>
            </w14:solidFill>
          </w14:textFill>
        </w:rPr>
        <w:t>单价报价及总价报价不得超过其相应最高限价，响应时须提供已</w:t>
      </w:r>
      <w:r>
        <w:rPr>
          <w:rFonts w:hint="eastAsia" w:ascii="宋体" w:hAnsi="宋体" w:cs="宋体"/>
          <w:b/>
          <w:bCs/>
          <w:color w:val="000000" w:themeColor="text1"/>
          <w:sz w:val="24"/>
          <w:szCs w:val="24"/>
          <w:highlight w:val="none"/>
          <w14:textFill>
            <w14:solidFill>
              <w14:schemeClr w14:val="tx1"/>
            </w14:solidFill>
          </w14:textFill>
        </w:rPr>
        <w:t>标价的《项目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清单》作为签订合同后支付及结算的依据。</w:t>
      </w:r>
    </w:p>
    <w:p w14:paraId="497D879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黑体" w:hAnsi="黑体" w:eastAsia="黑体" w:cs="黑体"/>
          <w:sz w:val="28"/>
          <w:szCs w:val="28"/>
          <w:lang w:val="en-US" w:eastAsia="zh-CN"/>
        </w:rPr>
        <w:t>四、商务</w:t>
      </w:r>
    </w:p>
    <w:p w14:paraId="7C692BF0">
      <w:pPr>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color w:val="auto"/>
          <w:kern w:val="0"/>
          <w:sz w:val="28"/>
          <w:szCs w:val="28"/>
          <w:highlight w:val="none"/>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服务要求：</w:t>
      </w:r>
    </w:p>
    <w:p w14:paraId="0241EDED">
      <w:pPr>
        <w:widowControl w:val="0"/>
        <w:spacing w:line="520" w:lineRule="exact"/>
        <w:ind w:firstLine="560" w:firstLineChars="200"/>
        <w:jc w:val="both"/>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1</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bidi="ar-SA"/>
        </w:rPr>
        <w:t>供应商要严格遵守《中华人民共和国劳动合同法》《中华人民共和国劳动法》及相关法律法规的规定，并依法开展用工管理。采购人和供应商不建立劳务派遣关系或类似关系，供应商应向其员工承担用人单位的全部责任。采购人不对供应商员工承担任何用人单位或劳务派遣用工单位的责任。</w:t>
      </w:r>
    </w:p>
    <w:p w14:paraId="7228F70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rPr>
        <w:t>（2）</w:t>
      </w:r>
      <w:r>
        <w:rPr>
          <w:rFonts w:hint="eastAsia" w:asciiTheme="minorEastAsia" w:hAnsiTheme="minorEastAsia" w:eastAsiaTheme="minorEastAsia" w:cstheme="minorEastAsia"/>
          <w:color w:val="auto"/>
          <w:kern w:val="2"/>
          <w:sz w:val="28"/>
          <w:szCs w:val="28"/>
          <w:highlight w:val="none"/>
          <w:lang w:eastAsia="zh-CN"/>
        </w:rPr>
        <w:t>供应商应做好服务人员用工管理，主要包括：日常管理（业务管理、档案管理、安全管理、用工管理和培训教育）。</w:t>
      </w:r>
    </w:p>
    <w:p w14:paraId="5CB4449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trike w:val="0"/>
          <w:sz w:val="28"/>
          <w:szCs w:val="28"/>
          <w:highlight w:val="none"/>
          <w:lang w:val="en-US"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3</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根据采购人要求提供</w:t>
      </w:r>
      <w:r>
        <w:rPr>
          <w:rFonts w:hint="eastAsia" w:asciiTheme="minorEastAsia" w:hAnsiTheme="minorEastAsia" w:eastAsiaTheme="minorEastAsia" w:cstheme="minorEastAsia"/>
          <w:sz w:val="28"/>
          <w:szCs w:val="28"/>
          <w:highlight w:val="none"/>
          <w:lang w:val="en-US" w:eastAsia="zh-CN"/>
        </w:rPr>
        <w:t>苗木种植、修剪、除病虫害等</w:t>
      </w:r>
      <w:r>
        <w:rPr>
          <w:rFonts w:hint="eastAsia" w:asciiTheme="minorEastAsia" w:hAnsiTheme="minorEastAsia" w:eastAsiaTheme="minorEastAsia" w:cstheme="minorEastAsia"/>
          <w:strike w:val="0"/>
          <w:color w:val="auto"/>
          <w:kern w:val="2"/>
          <w:sz w:val="28"/>
          <w:szCs w:val="28"/>
          <w:highlight w:val="none"/>
          <w:lang w:val="en-US" w:eastAsia="zh-CN"/>
        </w:rPr>
        <w:t>临时性工作劳务服务。</w:t>
      </w:r>
    </w:p>
    <w:p w14:paraId="0CB8DFD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服务标准：</w:t>
      </w:r>
      <w:r>
        <w:rPr>
          <w:rFonts w:hint="eastAsia" w:ascii="宋体" w:hAnsi="宋体" w:cs="宋体"/>
          <w:bCs/>
          <w:color w:val="000000"/>
          <w:kern w:val="0"/>
          <w:sz w:val="28"/>
          <w:szCs w:val="28"/>
          <w:highlight w:val="none"/>
        </w:rPr>
        <w:t>按照要求提供</w:t>
      </w:r>
      <w:r>
        <w:rPr>
          <w:rFonts w:hint="eastAsia" w:ascii="宋体" w:hAnsi="宋体" w:cs="宋体"/>
          <w:bCs/>
          <w:color w:val="000000"/>
          <w:kern w:val="0"/>
          <w:sz w:val="28"/>
          <w:szCs w:val="28"/>
          <w:highlight w:val="none"/>
          <w:lang w:val="en-US" w:eastAsia="zh-CN"/>
        </w:rPr>
        <w:t>符合要求的作业人员到指定地点工作</w:t>
      </w:r>
      <w:r>
        <w:rPr>
          <w:rFonts w:hint="eastAsia" w:ascii="宋体" w:hAnsi="宋体" w:cs="宋体"/>
          <w:bCs/>
          <w:color w:val="000000"/>
          <w:kern w:val="0"/>
          <w:sz w:val="28"/>
          <w:szCs w:val="28"/>
          <w:highlight w:val="none"/>
        </w:rPr>
        <w:t>，且项目</w:t>
      </w:r>
      <w:r>
        <w:rPr>
          <w:rFonts w:hint="eastAsia" w:ascii="宋体" w:hAnsi="宋体" w:cs="宋体"/>
          <w:color w:val="000000"/>
          <w:kern w:val="0"/>
          <w:sz w:val="28"/>
          <w:szCs w:val="28"/>
          <w:highlight w:val="none"/>
        </w:rPr>
        <w:t>工作成果质量评定达到合格等级。</w:t>
      </w:r>
    </w:p>
    <w:p w14:paraId="6474A62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gree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服务期限：服务合同期</w:t>
      </w:r>
      <w:r>
        <w:rPr>
          <w:rFonts w:hint="eastAsia" w:asciiTheme="minorEastAsia" w:hAnsiTheme="minorEastAsia" w:eastAsiaTheme="minorEastAsia" w:cstheme="minorEastAsia"/>
          <w:sz w:val="28"/>
          <w:szCs w:val="28"/>
          <w:highlight w:val="none"/>
        </w:rPr>
        <w:t>自合同签订之日起</w:t>
      </w:r>
      <w:r>
        <w:rPr>
          <w:rFonts w:hint="eastAsia" w:asciiTheme="minorEastAsia" w:hAnsiTheme="minorEastAsia" w:eastAsiaTheme="minorEastAsia" w:cstheme="minorEastAsia"/>
          <w:sz w:val="28"/>
          <w:szCs w:val="28"/>
          <w:highlight w:val="none"/>
          <w:lang w:val="en-US" w:eastAsia="zh-CN"/>
        </w:rPr>
        <w:t>至2026年5月31日。</w:t>
      </w:r>
    </w:p>
    <w:p w14:paraId="6D194C0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服务人员配备：</w:t>
      </w:r>
      <w:r>
        <w:rPr>
          <w:rFonts w:hint="eastAsia" w:asciiTheme="minorEastAsia" w:hAnsiTheme="minorEastAsia" w:eastAsiaTheme="minorEastAsia" w:cstheme="minorEastAsia"/>
          <w:sz w:val="28"/>
          <w:szCs w:val="28"/>
          <w:lang w:val="en-US" w:eastAsia="zh-CN"/>
        </w:rPr>
        <w:t>供应商需配备不少于</w:t>
      </w:r>
      <w:r>
        <w:rPr>
          <w:rFonts w:hint="eastAsia" w:asciiTheme="minorEastAsia" w:hAnsiTheme="minorEastAsia" w:eastAsiaTheme="minorEastAsia" w:cstheme="minorEastAsia"/>
          <w:sz w:val="28"/>
          <w:szCs w:val="28"/>
          <w:highlight w:val="none"/>
          <w:lang w:val="en-US" w:eastAsia="zh-CN"/>
        </w:rPr>
        <w:t>3名</w:t>
      </w:r>
      <w:r>
        <w:rPr>
          <w:rFonts w:hint="eastAsia" w:asciiTheme="minorEastAsia" w:hAnsiTheme="minorEastAsia" w:eastAsiaTheme="minorEastAsia" w:cstheme="minorEastAsia"/>
          <w:sz w:val="28"/>
          <w:szCs w:val="28"/>
          <w:lang w:val="en-US" w:eastAsia="zh-CN"/>
        </w:rPr>
        <w:t>专业人员。应熟悉</w:t>
      </w:r>
      <w:r>
        <w:rPr>
          <w:rFonts w:hint="eastAsia" w:asciiTheme="minorEastAsia" w:hAnsiTheme="minorEastAsia" w:eastAsiaTheme="minorEastAsia" w:cstheme="minorEastAsia"/>
          <w:sz w:val="28"/>
          <w:szCs w:val="28"/>
        </w:rPr>
        <w:t>园艺操作</w:t>
      </w:r>
      <w:r>
        <w:rPr>
          <w:rFonts w:hint="eastAsia" w:asciiTheme="minorEastAsia" w:hAnsiTheme="minorEastAsia" w:eastAsiaTheme="minorEastAsia" w:cstheme="minorEastAsia"/>
          <w:sz w:val="28"/>
          <w:szCs w:val="28"/>
          <w:lang w:val="en-US" w:eastAsia="zh-CN"/>
        </w:rPr>
        <w:t>基本</w:t>
      </w:r>
      <w:r>
        <w:rPr>
          <w:rFonts w:hint="eastAsia" w:asciiTheme="minorEastAsia" w:hAnsiTheme="minorEastAsia" w:eastAsiaTheme="minorEastAsia" w:cstheme="minorEastAsia"/>
          <w:sz w:val="28"/>
          <w:szCs w:val="28"/>
        </w:rPr>
        <w:t>技能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有一定数量的熟手技工人员，能较好地执行</w:t>
      </w:r>
      <w:r>
        <w:rPr>
          <w:rFonts w:hint="eastAsia" w:asciiTheme="minorEastAsia" w:hAnsiTheme="minorEastAsia" w:eastAsiaTheme="minorEastAsia" w:cstheme="minorEastAsia"/>
          <w:sz w:val="28"/>
          <w:szCs w:val="28"/>
          <w:lang w:val="en-US" w:eastAsia="zh-CN"/>
        </w:rPr>
        <w:t>采购人现场安排的劳务服务</w:t>
      </w:r>
      <w:r>
        <w:rPr>
          <w:rFonts w:hint="eastAsia" w:asciiTheme="minorEastAsia" w:hAnsiTheme="minorEastAsia" w:eastAsiaTheme="minorEastAsia" w:cstheme="minorEastAsia"/>
          <w:sz w:val="28"/>
          <w:szCs w:val="28"/>
        </w:rPr>
        <w:t>工作，确保</w:t>
      </w:r>
      <w:r>
        <w:rPr>
          <w:rFonts w:hint="eastAsia" w:asciiTheme="minorEastAsia" w:hAnsiTheme="minorEastAsia" w:eastAsiaTheme="minorEastAsia" w:cstheme="minorEastAsia"/>
          <w:sz w:val="28"/>
          <w:szCs w:val="28"/>
          <w:lang w:val="en-US" w:eastAsia="zh-CN"/>
        </w:rPr>
        <w:t>采购人现场作业</w:t>
      </w:r>
      <w:r>
        <w:rPr>
          <w:rFonts w:hint="eastAsia" w:asciiTheme="minorEastAsia" w:hAnsiTheme="minorEastAsia" w:eastAsiaTheme="minorEastAsia" w:cstheme="minorEastAsia"/>
          <w:sz w:val="28"/>
          <w:szCs w:val="28"/>
        </w:rPr>
        <w:t>质量。项目服务期间须</w:t>
      </w:r>
      <w:r>
        <w:rPr>
          <w:rFonts w:hint="eastAsia" w:asciiTheme="minorEastAsia" w:hAnsiTheme="minorEastAsia" w:eastAsiaTheme="minorEastAsia" w:cstheme="minorEastAsia"/>
          <w:sz w:val="28"/>
          <w:szCs w:val="28"/>
          <w:lang w:val="en-US" w:eastAsia="zh-CN"/>
        </w:rPr>
        <w:t>按采购人计划安排到场人员</w:t>
      </w:r>
      <w:r>
        <w:rPr>
          <w:rFonts w:hint="eastAsia" w:asciiTheme="minorEastAsia" w:hAnsiTheme="minorEastAsia" w:eastAsiaTheme="minorEastAsia" w:cstheme="minorEastAsia"/>
          <w:sz w:val="28"/>
          <w:szCs w:val="28"/>
        </w:rPr>
        <w:t>。</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交付时间：</w:t>
      </w:r>
      <w:r>
        <w:rPr>
          <w:rFonts w:hint="eastAsia" w:asciiTheme="minorEastAsia" w:hAnsiTheme="minorEastAsia" w:eastAsiaTheme="minorEastAsia" w:cstheme="minorEastAsia"/>
          <w:sz w:val="28"/>
          <w:szCs w:val="28"/>
          <w:u w:val="none"/>
          <w:lang w:val="en-US" w:eastAsia="zh-CN"/>
        </w:rPr>
        <w:t>2025年9月29日12点</w:t>
      </w:r>
      <w:r>
        <w:rPr>
          <w:rFonts w:hint="eastAsia"/>
          <w:sz w:val="28"/>
          <w:szCs w:val="28"/>
          <w:u w:val="none"/>
          <w:lang w:val="en-US" w:eastAsia="zh-CN"/>
        </w:rPr>
        <w:t>00</w:t>
      </w:r>
      <w:r>
        <w:rPr>
          <w:rFonts w:hint="eastAsia"/>
          <w:sz w:val="28"/>
          <w:szCs w:val="28"/>
          <w:u w:val="none"/>
        </w:rPr>
        <w:t>分（北京时间）</w:t>
      </w:r>
      <w:r>
        <w:rPr>
          <w:rFonts w:hint="eastAsia"/>
          <w:sz w:val="28"/>
          <w:szCs w:val="28"/>
          <w:u w:val="none"/>
          <w:lang w:eastAsia="zh-CN"/>
        </w:rPr>
        <w:t>。</w:t>
      </w:r>
      <w:bookmarkStart w:id="0" w:name="_GoBack"/>
      <w:bookmarkEnd w:id="0"/>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29C475F7">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lang w:val="en-US" w:eastAsia="zh-CN"/>
        </w:rPr>
        <w:t>（1）劳务进度款按月支付，进度款金额为上月完成劳务作业量所对应劳务费用的100%</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每月7日前将上月实际完成劳务作业量和对应的劳务费用书以书面形式报送采购人，采购人收到书面资料14日内审核确认并书面答复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需在7日内补充材料或予以更正。采购人收到书面资料逾期不答复的，视为同意</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提交的劳务作业量和对应劳务费用。</w:t>
      </w:r>
    </w:p>
    <w:p w14:paraId="0845A25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自劳务作业完成并经采购人验收之日起14日内将包括合同最终总价款金额的全部结算资料提交采购人，包括有效的月度工作量结算资料等。采购人自收到</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提交的结算资料之日起14日内审核确认并书面答复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需在7日内补充材料或予以</w:t>
      </w:r>
      <w:r>
        <w:rPr>
          <w:rFonts w:hint="eastAsia" w:asciiTheme="minorEastAsia" w:hAnsiTheme="minorEastAsia" w:eastAsiaTheme="minorEastAsia" w:cstheme="minorEastAsia"/>
          <w:sz w:val="28"/>
          <w:szCs w:val="28"/>
          <w:lang w:val="en-US" w:eastAsia="zh-CN"/>
        </w:rPr>
        <w:t>更正。采购人收到书面资料逾期不答复的，视为同意供应商提交的结算资料。</w:t>
      </w:r>
    </w:p>
    <w:p w14:paraId="3A4346A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（3）每次请款时，需提供上一次请款周期内成交供应商向每一个服务人员支付劳务报酬的银行转账凭证（需包含收款人账户信息、金额及交易时间），并加盖供应商公章。</w:t>
      </w:r>
    </w:p>
    <w:p w14:paraId="5B4D289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(4)经审定的结算总金额因实际情况超出合同约定金额的,超出部分不得高于原合同金额的10%。</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验收标准：​</w:t>
      </w:r>
    </w:p>
    <w:p w14:paraId="5BE342E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采购人收到供应商项目验收申请之日起7日内，由采购人组织供应商现场核实验收，验收应按照合同的约定对现场的配合情况、种植情况；设备投入情况；现场完成种植后清理等劳务服务情况进行验收。验收合格后双方签订验收确认单。</w:t>
      </w:r>
    </w:p>
    <w:p w14:paraId="5481CB68">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（2）根据本项目采购需求的要求及供应商响应文件相关承诺执行。</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售后服务：​</w:t>
      </w:r>
    </w:p>
    <w:p w14:paraId="3C7E15B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服务期内，供应商应根据采购人的反馈及时调整服务方案，不断提升服务质量。在服务期结束后，应提供一定期限的免费咨询服务。</w:t>
      </w:r>
    </w:p>
    <w:p w14:paraId="54163A18">
      <w:pPr>
        <w:pStyle w:val="32"/>
        <w:rPr>
          <w:rFonts w:hint="eastAsia" w:asciiTheme="minorEastAsia" w:hAnsiTheme="minorEastAsia" w:eastAsiaTheme="minorEastAsia" w:cstheme="minorEastAsia"/>
          <w:lang w:val="en-US" w:eastAsia="zh-CN"/>
        </w:rPr>
      </w:pPr>
    </w:p>
    <w:p w14:paraId="63632EEE">
      <w:pPr>
        <w:rPr>
          <w:rFonts w:hint="eastAsia" w:ascii="华文中宋" w:hAnsi="华文中宋" w:eastAsia="华文中宋"/>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C34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95CC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B95CC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16B03D3"/>
    <w:rsid w:val="019676AA"/>
    <w:rsid w:val="038B022B"/>
    <w:rsid w:val="03A86AC5"/>
    <w:rsid w:val="044C330C"/>
    <w:rsid w:val="04D1625D"/>
    <w:rsid w:val="055D54E7"/>
    <w:rsid w:val="05822021"/>
    <w:rsid w:val="061C715B"/>
    <w:rsid w:val="06AC4284"/>
    <w:rsid w:val="0913264A"/>
    <w:rsid w:val="0E8F1CEB"/>
    <w:rsid w:val="0F240322"/>
    <w:rsid w:val="124A70DD"/>
    <w:rsid w:val="1283439D"/>
    <w:rsid w:val="12DC6776"/>
    <w:rsid w:val="1497026D"/>
    <w:rsid w:val="14E46507"/>
    <w:rsid w:val="16297D66"/>
    <w:rsid w:val="17344DE4"/>
    <w:rsid w:val="17782111"/>
    <w:rsid w:val="179B7EB4"/>
    <w:rsid w:val="17A73162"/>
    <w:rsid w:val="18710F39"/>
    <w:rsid w:val="19A14C1F"/>
    <w:rsid w:val="1A4C776A"/>
    <w:rsid w:val="1B1738D4"/>
    <w:rsid w:val="1B617245"/>
    <w:rsid w:val="1B8D3B96"/>
    <w:rsid w:val="1BB1687E"/>
    <w:rsid w:val="1CEC049A"/>
    <w:rsid w:val="1DF168C0"/>
    <w:rsid w:val="1F483F8F"/>
    <w:rsid w:val="1F8F5FAF"/>
    <w:rsid w:val="1FB536FF"/>
    <w:rsid w:val="1FF60574"/>
    <w:rsid w:val="20D05DB2"/>
    <w:rsid w:val="21CE78E7"/>
    <w:rsid w:val="227B42A0"/>
    <w:rsid w:val="2367766A"/>
    <w:rsid w:val="236819A8"/>
    <w:rsid w:val="236E69A3"/>
    <w:rsid w:val="244E28B6"/>
    <w:rsid w:val="25AB7A3A"/>
    <w:rsid w:val="271C7BA5"/>
    <w:rsid w:val="27963CDA"/>
    <w:rsid w:val="27A87E6E"/>
    <w:rsid w:val="28F67420"/>
    <w:rsid w:val="29024AFE"/>
    <w:rsid w:val="29660CEA"/>
    <w:rsid w:val="297665B1"/>
    <w:rsid w:val="2ABF6900"/>
    <w:rsid w:val="2B7B6DE1"/>
    <w:rsid w:val="2D115CD2"/>
    <w:rsid w:val="2D2307FE"/>
    <w:rsid w:val="2D834A73"/>
    <w:rsid w:val="2D892A24"/>
    <w:rsid w:val="2F4131BE"/>
    <w:rsid w:val="2F7C41F6"/>
    <w:rsid w:val="30CA52E9"/>
    <w:rsid w:val="32483CAD"/>
    <w:rsid w:val="325250B2"/>
    <w:rsid w:val="347A51A8"/>
    <w:rsid w:val="362178A5"/>
    <w:rsid w:val="3B235C9E"/>
    <w:rsid w:val="3BE92C13"/>
    <w:rsid w:val="3CC527C1"/>
    <w:rsid w:val="3DC52364"/>
    <w:rsid w:val="40C96B6F"/>
    <w:rsid w:val="40D814C3"/>
    <w:rsid w:val="41AC2A51"/>
    <w:rsid w:val="42B671D5"/>
    <w:rsid w:val="446F4504"/>
    <w:rsid w:val="455455A1"/>
    <w:rsid w:val="45633A36"/>
    <w:rsid w:val="45806396"/>
    <w:rsid w:val="45B222C8"/>
    <w:rsid w:val="468B7A91"/>
    <w:rsid w:val="489F5BDF"/>
    <w:rsid w:val="48B41B3C"/>
    <w:rsid w:val="4BC62629"/>
    <w:rsid w:val="4BEB02E1"/>
    <w:rsid w:val="4C480BC5"/>
    <w:rsid w:val="4E200716"/>
    <w:rsid w:val="4F6D4491"/>
    <w:rsid w:val="4FBA5638"/>
    <w:rsid w:val="50A82C45"/>
    <w:rsid w:val="5153670D"/>
    <w:rsid w:val="51D57A6A"/>
    <w:rsid w:val="534740C2"/>
    <w:rsid w:val="540B7771"/>
    <w:rsid w:val="5662131E"/>
    <w:rsid w:val="58845D45"/>
    <w:rsid w:val="59BB7545"/>
    <w:rsid w:val="5B2A4A64"/>
    <w:rsid w:val="5C660A68"/>
    <w:rsid w:val="5DEF61CF"/>
    <w:rsid w:val="5E3B5019"/>
    <w:rsid w:val="5E6E2D65"/>
    <w:rsid w:val="5F2C67EF"/>
    <w:rsid w:val="60866BC3"/>
    <w:rsid w:val="620174D7"/>
    <w:rsid w:val="62842D4E"/>
    <w:rsid w:val="63E43B3C"/>
    <w:rsid w:val="64E01F91"/>
    <w:rsid w:val="65181CEF"/>
    <w:rsid w:val="65C74E59"/>
    <w:rsid w:val="66186D75"/>
    <w:rsid w:val="666E3CFC"/>
    <w:rsid w:val="66FE6CC3"/>
    <w:rsid w:val="68624CAF"/>
    <w:rsid w:val="68A25CEB"/>
    <w:rsid w:val="696F5806"/>
    <w:rsid w:val="6A0517AD"/>
    <w:rsid w:val="6B95189C"/>
    <w:rsid w:val="6C8934D3"/>
    <w:rsid w:val="6D2F5E28"/>
    <w:rsid w:val="6EAC4E1D"/>
    <w:rsid w:val="6F173018"/>
    <w:rsid w:val="712727F0"/>
    <w:rsid w:val="715C0F73"/>
    <w:rsid w:val="71E534AD"/>
    <w:rsid w:val="724F1412"/>
    <w:rsid w:val="74597B59"/>
    <w:rsid w:val="75F406CA"/>
    <w:rsid w:val="764566BC"/>
    <w:rsid w:val="765D6045"/>
    <w:rsid w:val="78B65A6F"/>
    <w:rsid w:val="78E1445A"/>
    <w:rsid w:val="7AFD57B8"/>
    <w:rsid w:val="7D2266D4"/>
    <w:rsid w:val="7DD547CA"/>
    <w:rsid w:val="7E7538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1450</Words>
  <Characters>1517</Characters>
  <Lines>16</Lines>
  <Paragraphs>4</Paragraphs>
  <TotalTime>0</TotalTime>
  <ScaleCrop>false</ScaleCrop>
  <LinksUpToDate>false</LinksUpToDate>
  <CharactersWithSpaces>1523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2025-09-23T08:44:00Z</cp:lastPrinted>
  <dcterms:modified xsi:type="dcterms:W3CDTF">2025-09-26T02:34:00Z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4F208897DE2A491FB8BCBCF4C4F7675A_13</vt:lpwstr>
  </property>
</Properties>
</file>