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13DA38">
      <w:pPr>
        <w:pStyle w:val="2"/>
        <w:pageBreakBefore w:val="0"/>
        <w:widowControl w:val="0"/>
        <w:tabs>
          <w:tab w:val="left" w:pos="0"/>
        </w:tabs>
        <w:kinsoku/>
        <w:wordWrap/>
        <w:overflowPunct/>
        <w:topLinePunct w:val="0"/>
        <w:autoSpaceDE w:val="0"/>
        <w:autoSpaceDN w:val="0"/>
        <w:bidi w:val="0"/>
        <w:adjustRightInd w:val="0"/>
        <w:snapToGrid/>
        <w:spacing w:before="0" w:after="0" w:line="520" w:lineRule="exact"/>
        <w:jc w:val="center"/>
        <w:textAlignment w:val="auto"/>
        <w:rPr>
          <w:rFonts w:hint="eastAsia" w:ascii="华文中宋" w:hAnsi="华文中宋" w:eastAsia="华文中宋" w:cs="Times New Roman"/>
          <w:lang w:val="en-US" w:eastAsia="zh-CN"/>
        </w:rPr>
      </w:pPr>
      <w:r>
        <w:rPr>
          <w:rFonts w:hint="eastAsia" w:ascii="华文中宋" w:hAnsi="华文中宋" w:eastAsia="华文中宋" w:cs="Times New Roman"/>
          <w:lang w:val="en-US" w:eastAsia="zh-CN"/>
        </w:rPr>
        <w:t>采购需求</w:t>
      </w:r>
    </w:p>
    <w:p w14:paraId="5B45ECC1">
      <w:pPr>
        <w:pageBreakBefore w:val="0"/>
        <w:widowControl/>
        <w:kinsoku/>
        <w:wordWrap/>
        <w:overflowPunct/>
        <w:topLinePunct w:val="0"/>
        <w:bidi w:val="0"/>
        <w:snapToGrid/>
        <w:spacing w:line="520" w:lineRule="exact"/>
        <w:ind w:firstLine="560" w:firstLineChars="200"/>
        <w:textAlignment w:val="auto"/>
        <w:rPr>
          <w:rFonts w:hint="eastAsia" w:asciiTheme="minorEastAsia" w:hAnsiTheme="minorEastAsia" w:eastAsiaTheme="minorEastAsia" w:cstheme="minorEastAsia"/>
          <w:sz w:val="28"/>
          <w:szCs w:val="28"/>
        </w:rPr>
      </w:pPr>
      <w:r>
        <w:rPr>
          <w:rFonts w:hint="eastAsia" w:ascii="黑体" w:hAnsi="黑体" w:eastAsia="黑体" w:cs="黑体"/>
          <w:sz w:val="28"/>
          <w:szCs w:val="28"/>
          <w:lang w:val="en-US" w:eastAsia="zh-CN"/>
        </w:rPr>
        <w:t>一、</w:t>
      </w:r>
      <w:r>
        <w:rPr>
          <w:rFonts w:hint="eastAsia" w:ascii="黑体" w:hAnsi="黑体" w:eastAsia="黑体" w:cs="黑体"/>
          <w:sz w:val="28"/>
          <w:szCs w:val="28"/>
        </w:rPr>
        <w:t>项目名称：</w:t>
      </w:r>
      <w:r>
        <w:rPr>
          <w:rFonts w:hint="eastAsia" w:asciiTheme="minorEastAsia" w:hAnsiTheme="minorEastAsia" w:eastAsiaTheme="minorEastAsia" w:cstheme="minorEastAsia"/>
          <w:sz w:val="28"/>
          <w:szCs w:val="28"/>
        </w:rPr>
        <w:t>[</w:t>
      </w:r>
      <w:r>
        <w:rPr>
          <w:rFonts w:hint="eastAsia" w:ascii="黑体" w:hAnsi="黑体" w:cs="宋体"/>
          <w:b w:val="0"/>
          <w:sz w:val="28"/>
          <w:szCs w:val="28"/>
          <w:lang w:val="en-US" w:eastAsia="zh-CN"/>
        </w:rPr>
        <w:t>2025年第32届广州园林博览会专项经费（秋季专场）苗木采购（一）</w:t>
      </w:r>
      <w:r>
        <w:rPr>
          <w:rFonts w:hint="eastAsia" w:asciiTheme="minorEastAsia" w:hAnsiTheme="minorEastAsia" w:eastAsiaTheme="minorEastAsia" w:cstheme="minorEastAsia"/>
          <w:sz w:val="28"/>
          <w:szCs w:val="28"/>
        </w:rPr>
        <w:t>]​</w:t>
      </w:r>
    </w:p>
    <w:p w14:paraId="75070BFE">
      <w:pPr>
        <w:pageBreakBefore w:val="0"/>
        <w:widowControl w:val="0"/>
        <w:kinsoku/>
        <w:wordWrap/>
        <w:overflowPunct/>
        <w:topLinePunct w:val="0"/>
        <w:bidi w:val="0"/>
        <w:snapToGrid/>
        <w:spacing w:line="520" w:lineRule="exact"/>
        <w:ind w:firstLine="560" w:firstLineChars="200"/>
        <w:textAlignment w:val="auto"/>
        <w:rPr>
          <w:rFonts w:hint="eastAsia" w:asciiTheme="minorEastAsia" w:hAnsiTheme="minorEastAsia" w:eastAsiaTheme="minorEastAsia" w:cstheme="minorEastAsia"/>
          <w:sz w:val="28"/>
          <w:szCs w:val="28"/>
        </w:rPr>
      </w:pPr>
      <w:r>
        <w:rPr>
          <w:rFonts w:hint="eastAsia" w:ascii="黑体" w:hAnsi="黑体" w:eastAsia="黑体" w:cs="黑体"/>
          <w:sz w:val="28"/>
          <w:szCs w:val="28"/>
          <w:lang w:val="en-US" w:eastAsia="zh-CN"/>
        </w:rPr>
        <w:t>二、采购预算：</w:t>
      </w:r>
      <w:r>
        <w:rPr>
          <w:rFonts w:hint="eastAsia" w:asciiTheme="minorEastAsia" w:hAnsiTheme="minorEastAsia" w:eastAsiaTheme="minorEastAsia" w:cstheme="minorEastAsia"/>
          <w:sz w:val="28"/>
          <w:szCs w:val="28"/>
        </w:rPr>
        <w:t>本项目采购预算为人民币 [</w:t>
      </w:r>
      <w:r>
        <w:rPr>
          <w:rFonts w:hint="eastAsia" w:asciiTheme="minorEastAsia" w:hAnsiTheme="minorEastAsia" w:eastAsiaTheme="minorEastAsia" w:cstheme="minorEastAsia"/>
          <w:sz w:val="28"/>
          <w:szCs w:val="28"/>
          <w:lang w:val="en-US" w:eastAsia="zh-CN"/>
        </w:rPr>
        <w:t>561600.00</w:t>
      </w:r>
      <w:r>
        <w:rPr>
          <w:rFonts w:hint="eastAsia" w:asciiTheme="minorEastAsia" w:hAnsiTheme="minorEastAsia" w:eastAsiaTheme="minorEastAsia" w:cstheme="minorEastAsia"/>
          <w:sz w:val="28"/>
          <w:szCs w:val="28"/>
        </w:rPr>
        <w:t>]元，供应商报价不得超过此预算，否则将作无效投标处理。</w:t>
      </w:r>
    </w:p>
    <w:p w14:paraId="3F594DF7">
      <w:pPr>
        <w:pageBreakBefore w:val="0"/>
        <w:widowControl w:val="0"/>
        <w:kinsoku/>
        <w:wordWrap/>
        <w:overflowPunct/>
        <w:topLinePunct w:val="0"/>
        <w:bidi w:val="0"/>
        <w:snapToGrid/>
        <w:spacing w:line="520" w:lineRule="exact"/>
        <w:ind w:firstLine="560" w:firstLineChars="200"/>
        <w:textAlignment w:val="auto"/>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三、采购标的</w:t>
      </w:r>
    </w:p>
    <w:p w14:paraId="3B42AB5D">
      <w:pPr>
        <w:pageBreakBefore w:val="0"/>
        <w:widowControl w:val="0"/>
        <w:kinsoku/>
        <w:wordWrap/>
        <w:overflowPunct/>
        <w:topLinePunct w:val="0"/>
        <w:bidi w:val="0"/>
        <w:snapToGrid/>
        <w:spacing w:line="52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1.项目供货</w:t>
      </w:r>
      <w:r>
        <w:rPr>
          <w:rFonts w:hint="eastAsia" w:asciiTheme="minorEastAsia" w:hAnsiTheme="minorEastAsia" w:eastAsiaTheme="minorEastAsia" w:cstheme="minorEastAsia"/>
          <w:sz w:val="28"/>
          <w:szCs w:val="28"/>
        </w:rPr>
        <w:t>清单：</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3"/>
        <w:gridCol w:w="1246"/>
        <w:gridCol w:w="2264"/>
        <w:gridCol w:w="1009"/>
        <w:gridCol w:w="802"/>
        <w:gridCol w:w="1217"/>
        <w:gridCol w:w="1296"/>
      </w:tblGrid>
      <w:tr w14:paraId="3A2AA2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3" w:type="dxa"/>
            <w:vAlign w:val="center"/>
          </w:tcPr>
          <w:p w14:paraId="1252F3C0">
            <w:pPr>
              <w:pageBreakBefore w:val="0"/>
              <w:widowControl w:val="0"/>
              <w:kinsoku/>
              <w:wordWrap/>
              <w:overflowPunct/>
              <w:topLinePunct w:val="0"/>
              <w:bidi w:val="0"/>
              <w:snapToGrid/>
              <w:spacing w:line="520" w:lineRule="exact"/>
              <w:jc w:val="center"/>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序号</w:t>
            </w:r>
          </w:p>
        </w:tc>
        <w:tc>
          <w:tcPr>
            <w:tcW w:w="1246" w:type="dxa"/>
            <w:vAlign w:val="center"/>
          </w:tcPr>
          <w:p w14:paraId="79F7463E">
            <w:pPr>
              <w:pageBreakBefore w:val="0"/>
              <w:widowControl w:val="0"/>
              <w:kinsoku/>
              <w:wordWrap/>
              <w:overflowPunct/>
              <w:topLinePunct w:val="0"/>
              <w:bidi w:val="0"/>
              <w:snapToGrid/>
              <w:spacing w:line="520" w:lineRule="exact"/>
              <w:jc w:val="center"/>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货物名称</w:t>
            </w:r>
          </w:p>
        </w:tc>
        <w:tc>
          <w:tcPr>
            <w:tcW w:w="2264" w:type="dxa"/>
            <w:vAlign w:val="center"/>
          </w:tcPr>
          <w:p w14:paraId="6EF43445">
            <w:pPr>
              <w:pageBreakBefore w:val="0"/>
              <w:widowControl w:val="0"/>
              <w:kinsoku/>
              <w:wordWrap/>
              <w:overflowPunct/>
              <w:topLinePunct w:val="0"/>
              <w:bidi w:val="0"/>
              <w:snapToGrid/>
              <w:spacing w:line="520" w:lineRule="exact"/>
              <w:jc w:val="center"/>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规格型号</w:t>
            </w:r>
          </w:p>
        </w:tc>
        <w:tc>
          <w:tcPr>
            <w:tcW w:w="1009" w:type="dxa"/>
            <w:vAlign w:val="center"/>
          </w:tcPr>
          <w:p w14:paraId="6D7EC928">
            <w:pPr>
              <w:pageBreakBefore w:val="0"/>
              <w:widowControl w:val="0"/>
              <w:kinsoku/>
              <w:wordWrap/>
              <w:overflowPunct/>
              <w:topLinePunct w:val="0"/>
              <w:bidi w:val="0"/>
              <w:snapToGrid/>
              <w:spacing w:line="520" w:lineRule="exact"/>
              <w:jc w:val="center"/>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暂定数量</w:t>
            </w:r>
          </w:p>
        </w:tc>
        <w:tc>
          <w:tcPr>
            <w:tcW w:w="802" w:type="dxa"/>
            <w:vAlign w:val="center"/>
          </w:tcPr>
          <w:p w14:paraId="489D2E28">
            <w:pPr>
              <w:pageBreakBefore w:val="0"/>
              <w:widowControl w:val="0"/>
              <w:kinsoku/>
              <w:wordWrap/>
              <w:overflowPunct/>
              <w:topLinePunct w:val="0"/>
              <w:bidi w:val="0"/>
              <w:snapToGrid/>
              <w:spacing w:line="520" w:lineRule="exact"/>
              <w:jc w:val="center"/>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单位</w:t>
            </w:r>
          </w:p>
        </w:tc>
        <w:tc>
          <w:tcPr>
            <w:tcW w:w="1217" w:type="dxa"/>
            <w:vAlign w:val="center"/>
          </w:tcPr>
          <w:p w14:paraId="08598DAA">
            <w:pPr>
              <w:pageBreakBefore w:val="0"/>
              <w:widowControl w:val="0"/>
              <w:kinsoku/>
              <w:wordWrap/>
              <w:overflowPunct/>
              <w:topLinePunct w:val="0"/>
              <w:bidi w:val="0"/>
              <w:snapToGrid/>
              <w:spacing w:line="520" w:lineRule="exact"/>
              <w:jc w:val="center"/>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综合单价限价（元）</w:t>
            </w:r>
          </w:p>
        </w:tc>
        <w:tc>
          <w:tcPr>
            <w:tcW w:w="1296" w:type="dxa"/>
            <w:vAlign w:val="center"/>
          </w:tcPr>
          <w:p w14:paraId="3D5C7362">
            <w:pPr>
              <w:pageBreakBefore w:val="0"/>
              <w:widowControl w:val="0"/>
              <w:kinsoku/>
              <w:wordWrap/>
              <w:overflowPunct/>
              <w:topLinePunct w:val="0"/>
              <w:bidi w:val="0"/>
              <w:snapToGrid/>
              <w:spacing w:line="520" w:lineRule="exact"/>
              <w:jc w:val="center"/>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预算总价（元）</w:t>
            </w:r>
          </w:p>
        </w:tc>
      </w:tr>
      <w:tr w14:paraId="36FF0B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3" w:type="dxa"/>
            <w:vAlign w:val="center"/>
          </w:tcPr>
          <w:p w14:paraId="5822FEDF">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4"/>
                <w:szCs w:val="24"/>
                <w:u w:val="none"/>
                <w:lang w:val="en-US" w:eastAsia="zh-CN" w:bidi="ar"/>
              </w:rPr>
              <w:t>1</w:t>
            </w:r>
          </w:p>
        </w:tc>
        <w:tc>
          <w:tcPr>
            <w:tcW w:w="1246" w:type="dxa"/>
            <w:vAlign w:val="center"/>
          </w:tcPr>
          <w:p w14:paraId="33144DF8">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4"/>
                <w:szCs w:val="24"/>
                <w:u w:val="none"/>
                <w:lang w:val="en-US" w:eastAsia="zh-CN" w:bidi="ar"/>
              </w:rPr>
              <w:t>时花A</w:t>
            </w:r>
          </w:p>
        </w:tc>
        <w:tc>
          <w:tcPr>
            <w:tcW w:w="2264" w:type="dxa"/>
            <w:vAlign w:val="center"/>
          </w:tcPr>
          <w:p w14:paraId="340711DC">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4"/>
                <w:szCs w:val="24"/>
                <w:u w:val="none"/>
                <w:lang w:val="en-US" w:eastAsia="zh-CN" w:bidi="ar"/>
              </w:rPr>
              <w:t>高度：20-50cm，冠幅：15-50cm</w:t>
            </w:r>
          </w:p>
        </w:tc>
        <w:tc>
          <w:tcPr>
            <w:tcW w:w="1009" w:type="dxa"/>
            <w:vAlign w:val="center"/>
          </w:tcPr>
          <w:p w14:paraId="0F50CADB">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4"/>
                <w:szCs w:val="24"/>
                <w:u w:val="none"/>
                <w:lang w:val="en-US" w:eastAsia="zh-CN" w:bidi="ar"/>
              </w:rPr>
              <w:t>25500</w:t>
            </w:r>
          </w:p>
        </w:tc>
        <w:tc>
          <w:tcPr>
            <w:tcW w:w="802" w:type="dxa"/>
            <w:vAlign w:val="center"/>
          </w:tcPr>
          <w:p w14:paraId="3657D1C4">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4"/>
                <w:szCs w:val="24"/>
                <w:u w:val="none"/>
                <w:lang w:val="en-US" w:eastAsia="zh-CN" w:bidi="ar"/>
              </w:rPr>
              <w:t>盆</w:t>
            </w:r>
          </w:p>
        </w:tc>
        <w:tc>
          <w:tcPr>
            <w:tcW w:w="1217" w:type="dxa"/>
            <w:vAlign w:val="center"/>
          </w:tcPr>
          <w:p w14:paraId="62899EB3">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4"/>
                <w:szCs w:val="24"/>
                <w:u w:val="none"/>
                <w:lang w:val="en-US" w:eastAsia="zh-CN" w:bidi="ar"/>
              </w:rPr>
              <w:t>3</w:t>
            </w:r>
          </w:p>
        </w:tc>
        <w:tc>
          <w:tcPr>
            <w:tcW w:w="1296" w:type="dxa"/>
            <w:vAlign w:val="center"/>
          </w:tcPr>
          <w:p w14:paraId="4C88D73B">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4"/>
                <w:szCs w:val="24"/>
                <w:u w:val="none"/>
                <w:lang w:val="en-US" w:eastAsia="zh-CN" w:bidi="ar"/>
              </w:rPr>
              <w:t xml:space="preserve">76500.00 </w:t>
            </w:r>
          </w:p>
        </w:tc>
      </w:tr>
      <w:tr w14:paraId="7EBF20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3" w:type="dxa"/>
            <w:vAlign w:val="center"/>
          </w:tcPr>
          <w:p w14:paraId="347AE15F">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4"/>
                <w:szCs w:val="24"/>
                <w:u w:val="none"/>
                <w:lang w:val="en-US" w:eastAsia="zh-CN" w:bidi="ar"/>
              </w:rPr>
              <w:t>2</w:t>
            </w:r>
          </w:p>
        </w:tc>
        <w:tc>
          <w:tcPr>
            <w:tcW w:w="1246" w:type="dxa"/>
            <w:vAlign w:val="center"/>
          </w:tcPr>
          <w:p w14:paraId="2BBB2375">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4"/>
                <w:szCs w:val="24"/>
                <w:u w:val="none"/>
                <w:lang w:val="en-US" w:eastAsia="zh-CN" w:bidi="ar"/>
              </w:rPr>
              <w:t>时花</w:t>
            </w:r>
            <w:r>
              <w:rPr>
                <w:rFonts w:hint="eastAsia" w:ascii="宋体" w:hAnsi="宋体" w:cs="宋体"/>
                <w:i w:val="0"/>
                <w:iCs w:val="0"/>
                <w:color w:val="000000"/>
                <w:kern w:val="0"/>
                <w:sz w:val="24"/>
                <w:szCs w:val="24"/>
                <w:u w:val="none"/>
                <w:lang w:val="en-US" w:eastAsia="zh-CN" w:bidi="ar"/>
              </w:rPr>
              <w:t>B</w:t>
            </w:r>
          </w:p>
        </w:tc>
        <w:tc>
          <w:tcPr>
            <w:tcW w:w="2264" w:type="dxa"/>
            <w:vAlign w:val="center"/>
          </w:tcPr>
          <w:p w14:paraId="7EE7D5A4">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4"/>
                <w:szCs w:val="24"/>
                <w:u w:val="none"/>
                <w:lang w:val="en-US" w:eastAsia="zh-CN" w:bidi="ar"/>
              </w:rPr>
              <w:t>高度：20-50cm，冠幅：15-50cm</w:t>
            </w:r>
          </w:p>
        </w:tc>
        <w:tc>
          <w:tcPr>
            <w:tcW w:w="1009" w:type="dxa"/>
            <w:vAlign w:val="center"/>
          </w:tcPr>
          <w:p w14:paraId="1F6F3F4B">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4"/>
                <w:szCs w:val="24"/>
                <w:u w:val="none"/>
                <w:lang w:val="en-US" w:eastAsia="zh-CN" w:bidi="ar"/>
              </w:rPr>
              <w:t>18800</w:t>
            </w:r>
          </w:p>
        </w:tc>
        <w:tc>
          <w:tcPr>
            <w:tcW w:w="802" w:type="dxa"/>
            <w:vAlign w:val="center"/>
          </w:tcPr>
          <w:p w14:paraId="2E68EC1F">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4"/>
                <w:szCs w:val="24"/>
                <w:u w:val="none"/>
                <w:lang w:val="en-US" w:eastAsia="zh-CN" w:bidi="ar"/>
              </w:rPr>
              <w:t>盆</w:t>
            </w:r>
          </w:p>
        </w:tc>
        <w:tc>
          <w:tcPr>
            <w:tcW w:w="1217" w:type="dxa"/>
            <w:vAlign w:val="center"/>
          </w:tcPr>
          <w:p w14:paraId="56CF843A">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4"/>
                <w:szCs w:val="24"/>
                <w:u w:val="none"/>
                <w:lang w:val="en-US" w:eastAsia="zh-CN" w:bidi="ar"/>
              </w:rPr>
              <w:t>4.5</w:t>
            </w:r>
          </w:p>
        </w:tc>
        <w:tc>
          <w:tcPr>
            <w:tcW w:w="1296" w:type="dxa"/>
            <w:vAlign w:val="center"/>
          </w:tcPr>
          <w:p w14:paraId="171099E9">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4"/>
                <w:szCs w:val="24"/>
                <w:u w:val="none"/>
                <w:lang w:val="en-US" w:eastAsia="zh-CN" w:bidi="ar"/>
              </w:rPr>
              <w:t xml:space="preserve">84600.00 </w:t>
            </w:r>
          </w:p>
        </w:tc>
      </w:tr>
      <w:tr w14:paraId="1AC5E2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3" w:type="dxa"/>
            <w:vAlign w:val="center"/>
          </w:tcPr>
          <w:p w14:paraId="4357FC4E">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4"/>
                <w:szCs w:val="24"/>
                <w:u w:val="none"/>
                <w:lang w:val="en-US" w:eastAsia="zh-CN" w:bidi="ar"/>
              </w:rPr>
              <w:t>3</w:t>
            </w:r>
          </w:p>
        </w:tc>
        <w:tc>
          <w:tcPr>
            <w:tcW w:w="1246" w:type="dxa"/>
            <w:vAlign w:val="center"/>
          </w:tcPr>
          <w:p w14:paraId="237D2F1D">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4"/>
                <w:szCs w:val="24"/>
                <w:u w:val="none"/>
                <w:lang w:val="en-US" w:eastAsia="zh-CN" w:bidi="ar"/>
              </w:rPr>
              <w:t>时花</w:t>
            </w:r>
            <w:r>
              <w:rPr>
                <w:rFonts w:hint="eastAsia" w:ascii="宋体" w:hAnsi="宋体" w:cs="宋体"/>
                <w:i w:val="0"/>
                <w:iCs w:val="0"/>
                <w:color w:val="000000"/>
                <w:kern w:val="0"/>
                <w:sz w:val="24"/>
                <w:szCs w:val="24"/>
                <w:u w:val="none"/>
                <w:lang w:val="en-US" w:eastAsia="zh-CN" w:bidi="ar"/>
              </w:rPr>
              <w:t>C</w:t>
            </w:r>
          </w:p>
        </w:tc>
        <w:tc>
          <w:tcPr>
            <w:tcW w:w="2264" w:type="dxa"/>
            <w:vAlign w:val="center"/>
          </w:tcPr>
          <w:p w14:paraId="1482ABD3">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4"/>
                <w:szCs w:val="24"/>
                <w:u w:val="none"/>
                <w:lang w:val="en-US" w:eastAsia="zh-CN" w:bidi="ar"/>
              </w:rPr>
              <w:t>高度：20-50cm，冠幅：15-50cm</w:t>
            </w:r>
          </w:p>
        </w:tc>
        <w:tc>
          <w:tcPr>
            <w:tcW w:w="1009" w:type="dxa"/>
            <w:vAlign w:val="center"/>
          </w:tcPr>
          <w:p w14:paraId="2C88CF5B">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4"/>
                <w:szCs w:val="24"/>
                <w:u w:val="none"/>
                <w:lang w:val="en-US" w:eastAsia="zh-CN" w:bidi="ar"/>
              </w:rPr>
              <w:t>9000</w:t>
            </w:r>
          </w:p>
        </w:tc>
        <w:tc>
          <w:tcPr>
            <w:tcW w:w="802" w:type="dxa"/>
            <w:vAlign w:val="center"/>
          </w:tcPr>
          <w:p w14:paraId="217E21AA">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4"/>
                <w:szCs w:val="24"/>
                <w:u w:val="none"/>
                <w:lang w:val="en-US" w:eastAsia="zh-CN" w:bidi="ar"/>
              </w:rPr>
              <w:t>盆</w:t>
            </w:r>
          </w:p>
        </w:tc>
        <w:tc>
          <w:tcPr>
            <w:tcW w:w="1217" w:type="dxa"/>
            <w:vAlign w:val="center"/>
          </w:tcPr>
          <w:p w14:paraId="23D7C22F">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4"/>
                <w:szCs w:val="24"/>
                <w:u w:val="none"/>
                <w:lang w:val="en-US" w:eastAsia="zh-CN" w:bidi="ar"/>
              </w:rPr>
              <w:t>5.5</w:t>
            </w:r>
          </w:p>
        </w:tc>
        <w:tc>
          <w:tcPr>
            <w:tcW w:w="1296" w:type="dxa"/>
            <w:vAlign w:val="center"/>
          </w:tcPr>
          <w:p w14:paraId="3FEEB6CD">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4"/>
                <w:szCs w:val="24"/>
                <w:u w:val="none"/>
                <w:lang w:val="en-US" w:eastAsia="zh-CN" w:bidi="ar"/>
              </w:rPr>
              <w:t xml:space="preserve">49500.00 </w:t>
            </w:r>
          </w:p>
        </w:tc>
      </w:tr>
      <w:tr w14:paraId="60CF81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3" w:type="dxa"/>
            <w:vAlign w:val="center"/>
          </w:tcPr>
          <w:p w14:paraId="0AC61A80">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4"/>
                <w:szCs w:val="24"/>
                <w:u w:val="none"/>
                <w:lang w:val="en-US" w:eastAsia="zh-CN" w:bidi="ar"/>
              </w:rPr>
              <w:t>4</w:t>
            </w:r>
          </w:p>
        </w:tc>
        <w:tc>
          <w:tcPr>
            <w:tcW w:w="1246" w:type="dxa"/>
            <w:vAlign w:val="center"/>
          </w:tcPr>
          <w:p w14:paraId="70ED145D">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4"/>
                <w:szCs w:val="24"/>
                <w:u w:val="none"/>
                <w:lang w:val="en-US" w:eastAsia="zh-CN" w:bidi="ar"/>
              </w:rPr>
              <w:t>时花</w:t>
            </w:r>
            <w:r>
              <w:rPr>
                <w:rFonts w:hint="eastAsia" w:ascii="宋体" w:hAnsi="宋体" w:cs="宋体"/>
                <w:i w:val="0"/>
                <w:iCs w:val="0"/>
                <w:color w:val="000000"/>
                <w:kern w:val="0"/>
                <w:sz w:val="24"/>
                <w:szCs w:val="24"/>
                <w:u w:val="none"/>
                <w:lang w:val="en-US" w:eastAsia="zh-CN" w:bidi="ar"/>
              </w:rPr>
              <w:t>D</w:t>
            </w:r>
          </w:p>
        </w:tc>
        <w:tc>
          <w:tcPr>
            <w:tcW w:w="2264" w:type="dxa"/>
            <w:vAlign w:val="center"/>
          </w:tcPr>
          <w:p w14:paraId="3B8F05B9">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4"/>
                <w:szCs w:val="24"/>
                <w:u w:val="none"/>
                <w:lang w:val="en-US" w:eastAsia="zh-CN" w:bidi="ar"/>
              </w:rPr>
              <w:t>高度：40-50cm，冠幅：15-50cm</w:t>
            </w:r>
          </w:p>
        </w:tc>
        <w:tc>
          <w:tcPr>
            <w:tcW w:w="1009" w:type="dxa"/>
            <w:vAlign w:val="center"/>
          </w:tcPr>
          <w:p w14:paraId="63DFBF1A">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4"/>
                <w:szCs w:val="24"/>
                <w:u w:val="none"/>
                <w:lang w:val="en-US" w:eastAsia="zh-CN" w:bidi="ar"/>
              </w:rPr>
              <w:t>6500</w:t>
            </w:r>
          </w:p>
        </w:tc>
        <w:tc>
          <w:tcPr>
            <w:tcW w:w="802" w:type="dxa"/>
            <w:vAlign w:val="center"/>
          </w:tcPr>
          <w:p w14:paraId="19BF8D2E">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4"/>
                <w:szCs w:val="24"/>
                <w:u w:val="none"/>
                <w:lang w:val="en-US" w:eastAsia="zh-CN" w:bidi="ar"/>
              </w:rPr>
              <w:t>盆</w:t>
            </w:r>
          </w:p>
        </w:tc>
        <w:tc>
          <w:tcPr>
            <w:tcW w:w="1217" w:type="dxa"/>
            <w:vAlign w:val="center"/>
          </w:tcPr>
          <w:p w14:paraId="597D94E9">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4"/>
                <w:szCs w:val="24"/>
                <w:u w:val="none"/>
                <w:lang w:val="en-US" w:eastAsia="zh-CN" w:bidi="ar"/>
              </w:rPr>
              <w:t>12</w:t>
            </w:r>
          </w:p>
        </w:tc>
        <w:tc>
          <w:tcPr>
            <w:tcW w:w="1296" w:type="dxa"/>
            <w:vAlign w:val="center"/>
          </w:tcPr>
          <w:p w14:paraId="7FCCD42D">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4"/>
                <w:szCs w:val="24"/>
                <w:u w:val="none"/>
                <w:lang w:val="en-US" w:eastAsia="zh-CN" w:bidi="ar"/>
              </w:rPr>
              <w:t xml:space="preserve">78000.00 </w:t>
            </w:r>
          </w:p>
        </w:tc>
      </w:tr>
      <w:tr w14:paraId="2EC857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3" w:type="dxa"/>
            <w:vAlign w:val="center"/>
          </w:tcPr>
          <w:p w14:paraId="12AEE761">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4"/>
                <w:szCs w:val="24"/>
                <w:u w:val="none"/>
                <w:lang w:val="en-US" w:eastAsia="zh-CN" w:bidi="ar"/>
              </w:rPr>
              <w:t>5</w:t>
            </w:r>
          </w:p>
        </w:tc>
        <w:tc>
          <w:tcPr>
            <w:tcW w:w="1246" w:type="dxa"/>
            <w:vAlign w:val="center"/>
          </w:tcPr>
          <w:p w14:paraId="71C274F7">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4"/>
                <w:szCs w:val="24"/>
                <w:u w:val="none"/>
                <w:lang w:val="en-US" w:eastAsia="zh-CN" w:bidi="ar"/>
              </w:rPr>
              <w:t>时花</w:t>
            </w:r>
            <w:r>
              <w:rPr>
                <w:rFonts w:hint="eastAsia" w:ascii="宋体" w:hAnsi="宋体" w:cs="宋体"/>
                <w:i w:val="0"/>
                <w:iCs w:val="0"/>
                <w:color w:val="000000"/>
                <w:kern w:val="0"/>
                <w:sz w:val="24"/>
                <w:szCs w:val="24"/>
                <w:u w:val="none"/>
                <w:lang w:val="en-US" w:eastAsia="zh-CN" w:bidi="ar"/>
              </w:rPr>
              <w:t>E</w:t>
            </w:r>
          </w:p>
        </w:tc>
        <w:tc>
          <w:tcPr>
            <w:tcW w:w="2264" w:type="dxa"/>
            <w:vAlign w:val="center"/>
          </w:tcPr>
          <w:p w14:paraId="10881327">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4"/>
                <w:szCs w:val="24"/>
                <w:u w:val="none"/>
                <w:lang w:val="en-US" w:eastAsia="zh-CN" w:bidi="ar"/>
              </w:rPr>
              <w:t>高度：40-50cm，冠幅：15-50cm</w:t>
            </w:r>
          </w:p>
        </w:tc>
        <w:tc>
          <w:tcPr>
            <w:tcW w:w="1009" w:type="dxa"/>
            <w:vAlign w:val="center"/>
          </w:tcPr>
          <w:p w14:paraId="7B96AEA7">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4"/>
                <w:szCs w:val="24"/>
                <w:u w:val="none"/>
                <w:lang w:val="en-US" w:eastAsia="zh-CN" w:bidi="ar"/>
              </w:rPr>
              <w:t>3500</w:t>
            </w:r>
          </w:p>
        </w:tc>
        <w:tc>
          <w:tcPr>
            <w:tcW w:w="802" w:type="dxa"/>
            <w:vAlign w:val="center"/>
          </w:tcPr>
          <w:p w14:paraId="3DFDA96A">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4"/>
                <w:szCs w:val="24"/>
                <w:u w:val="none"/>
                <w:lang w:val="en-US" w:eastAsia="zh-CN" w:bidi="ar"/>
              </w:rPr>
              <w:t>盆</w:t>
            </w:r>
          </w:p>
        </w:tc>
        <w:tc>
          <w:tcPr>
            <w:tcW w:w="1217" w:type="dxa"/>
            <w:vAlign w:val="center"/>
          </w:tcPr>
          <w:p w14:paraId="10416C2D">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4"/>
                <w:szCs w:val="24"/>
                <w:u w:val="none"/>
                <w:lang w:val="en-US" w:eastAsia="zh-CN" w:bidi="ar"/>
              </w:rPr>
              <w:t>15</w:t>
            </w:r>
          </w:p>
        </w:tc>
        <w:tc>
          <w:tcPr>
            <w:tcW w:w="1296" w:type="dxa"/>
            <w:vAlign w:val="center"/>
          </w:tcPr>
          <w:p w14:paraId="00F4D74E">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4"/>
                <w:szCs w:val="24"/>
                <w:u w:val="none"/>
                <w:lang w:val="en-US" w:eastAsia="zh-CN" w:bidi="ar"/>
              </w:rPr>
              <w:t xml:space="preserve">52500.00 </w:t>
            </w:r>
          </w:p>
        </w:tc>
      </w:tr>
      <w:tr w14:paraId="70BD69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3" w:type="dxa"/>
            <w:vAlign w:val="center"/>
          </w:tcPr>
          <w:p w14:paraId="32B8F39E">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宋体" w:hAnsi="宋体" w:cs="宋体"/>
                <w:i w:val="0"/>
                <w:iCs w:val="0"/>
                <w:color w:val="000000"/>
                <w:kern w:val="0"/>
                <w:sz w:val="24"/>
                <w:szCs w:val="24"/>
                <w:u w:val="none"/>
                <w:lang w:val="en-US" w:eastAsia="zh-CN" w:bidi="ar"/>
              </w:rPr>
              <w:t>6</w:t>
            </w:r>
          </w:p>
        </w:tc>
        <w:tc>
          <w:tcPr>
            <w:tcW w:w="1246" w:type="dxa"/>
            <w:vAlign w:val="center"/>
          </w:tcPr>
          <w:p w14:paraId="311CC845">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4"/>
                <w:szCs w:val="24"/>
                <w:u w:val="none"/>
                <w:lang w:val="en-US" w:eastAsia="zh-CN" w:bidi="ar"/>
              </w:rPr>
              <w:t>时花</w:t>
            </w:r>
            <w:r>
              <w:rPr>
                <w:rFonts w:hint="eastAsia" w:ascii="宋体" w:hAnsi="宋体" w:cs="宋体"/>
                <w:i w:val="0"/>
                <w:iCs w:val="0"/>
                <w:color w:val="000000"/>
                <w:kern w:val="0"/>
                <w:sz w:val="24"/>
                <w:szCs w:val="24"/>
                <w:u w:val="none"/>
                <w:lang w:val="en-US" w:eastAsia="zh-CN" w:bidi="ar"/>
              </w:rPr>
              <w:t>F</w:t>
            </w:r>
          </w:p>
        </w:tc>
        <w:tc>
          <w:tcPr>
            <w:tcW w:w="2264" w:type="dxa"/>
            <w:vAlign w:val="center"/>
          </w:tcPr>
          <w:p w14:paraId="1BAD0037">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4"/>
                <w:szCs w:val="24"/>
                <w:u w:val="none"/>
                <w:lang w:val="en-US" w:eastAsia="zh-CN" w:bidi="ar"/>
              </w:rPr>
              <w:t>高度：40-50cm，冠幅：15-50cm</w:t>
            </w:r>
          </w:p>
        </w:tc>
        <w:tc>
          <w:tcPr>
            <w:tcW w:w="1009" w:type="dxa"/>
            <w:vAlign w:val="center"/>
          </w:tcPr>
          <w:p w14:paraId="52B55607">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4"/>
                <w:szCs w:val="24"/>
                <w:u w:val="none"/>
                <w:lang w:val="en-US" w:eastAsia="zh-CN" w:bidi="ar"/>
              </w:rPr>
              <w:t>2500</w:t>
            </w:r>
          </w:p>
        </w:tc>
        <w:tc>
          <w:tcPr>
            <w:tcW w:w="802" w:type="dxa"/>
            <w:vAlign w:val="center"/>
          </w:tcPr>
          <w:p w14:paraId="6B6BA211">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4"/>
                <w:szCs w:val="24"/>
                <w:u w:val="none"/>
                <w:lang w:val="en-US" w:eastAsia="zh-CN" w:bidi="ar"/>
              </w:rPr>
              <w:t>盆</w:t>
            </w:r>
          </w:p>
        </w:tc>
        <w:tc>
          <w:tcPr>
            <w:tcW w:w="1217" w:type="dxa"/>
            <w:vAlign w:val="center"/>
          </w:tcPr>
          <w:p w14:paraId="0F91BDCC">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4"/>
                <w:szCs w:val="24"/>
                <w:u w:val="none"/>
                <w:lang w:val="en-US" w:eastAsia="zh-CN" w:bidi="ar"/>
              </w:rPr>
              <w:t>18</w:t>
            </w:r>
          </w:p>
        </w:tc>
        <w:tc>
          <w:tcPr>
            <w:tcW w:w="1296" w:type="dxa"/>
            <w:vAlign w:val="center"/>
          </w:tcPr>
          <w:p w14:paraId="3C9FF7B3">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4"/>
                <w:szCs w:val="24"/>
                <w:u w:val="none"/>
                <w:lang w:val="en-US" w:eastAsia="zh-CN" w:bidi="ar"/>
              </w:rPr>
              <w:t xml:space="preserve">45000.00 </w:t>
            </w:r>
          </w:p>
        </w:tc>
      </w:tr>
      <w:tr w14:paraId="6B450B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3" w:type="dxa"/>
            <w:vAlign w:val="center"/>
          </w:tcPr>
          <w:p w14:paraId="28C585C4">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宋体" w:hAnsi="宋体" w:cs="宋体"/>
                <w:i w:val="0"/>
                <w:iCs w:val="0"/>
                <w:color w:val="000000"/>
                <w:kern w:val="0"/>
                <w:sz w:val="24"/>
                <w:szCs w:val="24"/>
                <w:u w:val="none"/>
                <w:lang w:val="en-US" w:eastAsia="zh-CN" w:bidi="ar"/>
              </w:rPr>
              <w:t>7</w:t>
            </w:r>
          </w:p>
        </w:tc>
        <w:tc>
          <w:tcPr>
            <w:tcW w:w="1246" w:type="dxa"/>
            <w:vAlign w:val="center"/>
          </w:tcPr>
          <w:p w14:paraId="3753DCBB">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4"/>
                <w:szCs w:val="24"/>
                <w:u w:val="none"/>
                <w:lang w:val="en-US" w:eastAsia="zh-CN" w:bidi="ar"/>
              </w:rPr>
              <w:t>时花</w:t>
            </w:r>
            <w:r>
              <w:rPr>
                <w:rFonts w:hint="eastAsia" w:ascii="宋体" w:hAnsi="宋体" w:cs="宋体"/>
                <w:i w:val="0"/>
                <w:iCs w:val="0"/>
                <w:color w:val="000000"/>
                <w:kern w:val="0"/>
                <w:sz w:val="24"/>
                <w:szCs w:val="24"/>
                <w:u w:val="none"/>
                <w:lang w:val="en-US" w:eastAsia="zh-CN" w:bidi="ar"/>
              </w:rPr>
              <w:t>G</w:t>
            </w:r>
          </w:p>
        </w:tc>
        <w:tc>
          <w:tcPr>
            <w:tcW w:w="2264" w:type="dxa"/>
            <w:vAlign w:val="center"/>
          </w:tcPr>
          <w:p w14:paraId="1FD179DA">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4"/>
                <w:szCs w:val="24"/>
                <w:u w:val="none"/>
                <w:lang w:val="en-US" w:eastAsia="zh-CN" w:bidi="ar"/>
              </w:rPr>
              <w:t>高度：40-50cm，冠幅：15-50cm</w:t>
            </w:r>
          </w:p>
        </w:tc>
        <w:tc>
          <w:tcPr>
            <w:tcW w:w="1009" w:type="dxa"/>
            <w:vAlign w:val="center"/>
          </w:tcPr>
          <w:p w14:paraId="543BE5F4">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4"/>
                <w:szCs w:val="24"/>
                <w:u w:val="none"/>
                <w:lang w:val="en-US" w:eastAsia="zh-CN" w:bidi="ar"/>
              </w:rPr>
              <w:t>3900</w:t>
            </w:r>
          </w:p>
        </w:tc>
        <w:tc>
          <w:tcPr>
            <w:tcW w:w="802" w:type="dxa"/>
            <w:vAlign w:val="center"/>
          </w:tcPr>
          <w:p w14:paraId="570FF73C">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4"/>
                <w:szCs w:val="24"/>
                <w:u w:val="none"/>
                <w:lang w:val="en-US" w:eastAsia="zh-CN" w:bidi="ar"/>
              </w:rPr>
              <w:t>盆</w:t>
            </w:r>
          </w:p>
        </w:tc>
        <w:tc>
          <w:tcPr>
            <w:tcW w:w="1217" w:type="dxa"/>
            <w:vAlign w:val="center"/>
          </w:tcPr>
          <w:p w14:paraId="51F56DAC">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4"/>
                <w:szCs w:val="24"/>
                <w:u w:val="none"/>
                <w:lang w:val="en-US" w:eastAsia="zh-CN" w:bidi="ar"/>
              </w:rPr>
              <w:t>45</w:t>
            </w:r>
          </w:p>
        </w:tc>
        <w:tc>
          <w:tcPr>
            <w:tcW w:w="1296" w:type="dxa"/>
            <w:vAlign w:val="center"/>
          </w:tcPr>
          <w:p w14:paraId="23154E3A">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4"/>
                <w:szCs w:val="24"/>
                <w:u w:val="none"/>
                <w:lang w:val="en-US" w:eastAsia="zh-CN" w:bidi="ar"/>
              </w:rPr>
              <w:t xml:space="preserve">175500.00 </w:t>
            </w:r>
          </w:p>
        </w:tc>
      </w:tr>
      <w:tr w14:paraId="173E51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77" w:type="dxa"/>
            <w:gridSpan w:val="7"/>
            <w:vAlign w:val="center"/>
          </w:tcPr>
          <w:p w14:paraId="48003C69">
            <w:pPr>
              <w:keepNext w:val="0"/>
              <w:keepLines w:val="0"/>
              <w:widowControl/>
              <w:suppressLineNumbers w:val="0"/>
              <w:jc w:val="both"/>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时花品种说明：</w:t>
            </w:r>
            <w:r>
              <w:rPr>
                <w:rFonts w:hint="eastAsia" w:ascii="宋体" w:hAnsi="宋体" w:cs="宋体"/>
                <w:i w:val="0"/>
                <w:iCs w:val="0"/>
                <w:color w:val="auto"/>
                <w:kern w:val="0"/>
                <w:sz w:val="24"/>
                <w:szCs w:val="24"/>
                <w:u w:val="none"/>
                <w:lang w:val="en-US" w:eastAsia="zh-CN" w:bidi="ar"/>
              </w:rPr>
              <w:t>苗木</w:t>
            </w:r>
            <w:r>
              <w:rPr>
                <w:rFonts w:hint="eastAsia" w:ascii="宋体" w:hAnsi="宋体" w:eastAsia="宋体" w:cs="宋体"/>
                <w:i w:val="0"/>
                <w:iCs w:val="0"/>
                <w:color w:val="auto"/>
                <w:kern w:val="0"/>
                <w:sz w:val="24"/>
                <w:szCs w:val="24"/>
                <w:u w:val="none"/>
                <w:lang w:val="en-US" w:eastAsia="zh-CN" w:bidi="ar"/>
              </w:rPr>
              <w:t>形态完美，冠型完整，枝叶紧密度高，主枝分布均匀，苗木生长健壮，无病虫害</w:t>
            </w:r>
            <w:r>
              <w:rPr>
                <w:rFonts w:hint="eastAsia" w:ascii="宋体" w:hAnsi="宋体" w:cs="宋体"/>
                <w:i w:val="0"/>
                <w:iCs w:val="0"/>
                <w:color w:val="auto"/>
                <w:kern w:val="0"/>
                <w:sz w:val="24"/>
                <w:szCs w:val="24"/>
                <w:u w:val="none"/>
                <w:lang w:val="en-US" w:eastAsia="zh-CN" w:bidi="ar"/>
              </w:rPr>
              <w:t>。</w:t>
            </w:r>
          </w:p>
          <w:p w14:paraId="1C214C37">
            <w:pPr>
              <w:keepNext w:val="0"/>
              <w:keepLines w:val="0"/>
              <w:widowControl/>
              <w:suppressLineNumbers w:val="0"/>
              <w:jc w:val="both"/>
              <w:textAlignment w:val="center"/>
              <w:rPr>
                <w:rFonts w:hint="eastAsia" w:ascii="宋体" w:hAnsi="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时花A：</w:t>
            </w:r>
            <w:r>
              <w:rPr>
                <w:rFonts w:hint="eastAsia" w:ascii="宋体" w:hAnsi="宋体" w:cs="宋体"/>
                <w:i w:val="0"/>
                <w:iCs w:val="0"/>
                <w:color w:val="auto"/>
                <w:kern w:val="0"/>
                <w:sz w:val="24"/>
                <w:szCs w:val="24"/>
                <w:u w:val="none"/>
                <w:lang w:val="en-US" w:eastAsia="zh-CN" w:bidi="ar"/>
              </w:rPr>
              <w:t>醉蝶花、万寿菊、大花重瓣百日草、孔雀草、一串蓝、沐春菊等；</w:t>
            </w:r>
          </w:p>
          <w:p w14:paraId="093AD671">
            <w:pPr>
              <w:keepNext w:val="0"/>
              <w:keepLines w:val="0"/>
              <w:widowControl/>
              <w:suppressLineNumbers w:val="0"/>
              <w:jc w:val="both"/>
              <w:textAlignment w:val="center"/>
              <w:rPr>
                <w:rFonts w:hint="eastAsia" w:ascii="宋体" w:hAnsi="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时花B：桑贝斯凤仙、天竺葵、蓝雪花、墨西哥鼠尾草、松果菊、荷兰菊、大花香彩雀、柳叶马鞭草、马利筋、大花海棠、波斯菊、金鱼草</w:t>
            </w:r>
            <w:r>
              <w:rPr>
                <w:rFonts w:hint="eastAsia" w:ascii="宋体" w:hAnsi="宋体" w:cs="宋体"/>
                <w:i w:val="0"/>
                <w:iCs w:val="0"/>
                <w:color w:val="auto"/>
                <w:kern w:val="0"/>
                <w:sz w:val="24"/>
                <w:szCs w:val="24"/>
                <w:u w:val="none"/>
                <w:lang w:val="en-US" w:eastAsia="zh-CN" w:bidi="ar"/>
              </w:rPr>
              <w:t>等；</w:t>
            </w:r>
          </w:p>
          <w:p w14:paraId="6974E4AF">
            <w:pPr>
              <w:keepNext w:val="0"/>
              <w:keepLines w:val="0"/>
              <w:widowControl/>
              <w:suppressLineNumbers w:val="0"/>
              <w:jc w:val="both"/>
              <w:textAlignment w:val="center"/>
              <w:rPr>
                <w:rFonts w:hint="eastAsia" w:ascii="宋体" w:hAnsi="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时花C：美女樱、超级鼠尾草、穗花婆婆纳、乒乓菊、美国石竹</w:t>
            </w:r>
            <w:r>
              <w:rPr>
                <w:rFonts w:hint="eastAsia" w:ascii="宋体" w:hAnsi="宋体" w:cs="宋体"/>
                <w:i w:val="0"/>
                <w:iCs w:val="0"/>
                <w:color w:val="auto"/>
                <w:kern w:val="0"/>
                <w:sz w:val="24"/>
                <w:szCs w:val="24"/>
                <w:u w:val="none"/>
                <w:lang w:val="en-US" w:eastAsia="zh-CN" w:bidi="ar"/>
              </w:rPr>
              <w:t>等；</w:t>
            </w:r>
          </w:p>
          <w:p w14:paraId="440B7455">
            <w:pPr>
              <w:keepNext w:val="0"/>
              <w:keepLines w:val="0"/>
              <w:widowControl/>
              <w:suppressLineNumbers w:val="0"/>
              <w:jc w:val="both"/>
              <w:textAlignment w:val="center"/>
              <w:rPr>
                <w:rFonts w:hint="eastAsia" w:ascii="宋体" w:hAnsi="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时花D：</w:t>
            </w:r>
            <w:r>
              <w:rPr>
                <w:rFonts w:hint="eastAsia" w:ascii="宋体" w:hAnsi="宋体" w:cs="宋体"/>
                <w:i w:val="0"/>
                <w:iCs w:val="0"/>
                <w:color w:val="auto"/>
                <w:kern w:val="0"/>
                <w:sz w:val="24"/>
                <w:szCs w:val="24"/>
                <w:u w:val="none"/>
                <w:lang w:val="en-US" w:eastAsia="zh-CN" w:bidi="ar"/>
              </w:rPr>
              <w:t>向日葵（光辉岁月）、假蒿、毛地黄、蛇鞭菊、大花飞燕草、一品红、进口龙船花等等；</w:t>
            </w:r>
          </w:p>
          <w:p w14:paraId="165AA74F">
            <w:pPr>
              <w:keepNext w:val="0"/>
              <w:keepLines w:val="0"/>
              <w:widowControl/>
              <w:suppressLineNumbers w:val="0"/>
              <w:jc w:val="both"/>
              <w:textAlignment w:val="center"/>
              <w:rPr>
                <w:rFonts w:hint="eastAsia" w:ascii="宋体" w:hAnsi="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时花</w:t>
            </w:r>
            <w:r>
              <w:rPr>
                <w:rFonts w:hint="eastAsia" w:ascii="宋体" w:hAnsi="宋体" w:cs="宋体"/>
                <w:i w:val="0"/>
                <w:iCs w:val="0"/>
                <w:color w:val="auto"/>
                <w:kern w:val="0"/>
                <w:sz w:val="24"/>
                <w:szCs w:val="24"/>
                <w:u w:val="none"/>
                <w:lang w:val="en-US" w:eastAsia="zh-CN" w:bidi="ar"/>
              </w:rPr>
              <w:t>E</w:t>
            </w:r>
            <w:r>
              <w:rPr>
                <w:rFonts w:hint="eastAsia" w:ascii="宋体" w:hAnsi="宋体" w:eastAsia="宋体" w:cs="宋体"/>
                <w:i w:val="0"/>
                <w:iCs w:val="0"/>
                <w:color w:val="auto"/>
                <w:kern w:val="0"/>
                <w:sz w:val="24"/>
                <w:szCs w:val="24"/>
                <w:u w:val="none"/>
                <w:lang w:val="en-US" w:eastAsia="zh-CN" w:bidi="ar"/>
              </w:rPr>
              <w:t>：</w:t>
            </w:r>
            <w:r>
              <w:rPr>
                <w:rFonts w:hint="eastAsia" w:ascii="宋体" w:hAnsi="宋体" w:cs="宋体"/>
                <w:i w:val="0"/>
                <w:iCs w:val="0"/>
                <w:color w:val="auto"/>
                <w:kern w:val="0"/>
                <w:sz w:val="24"/>
                <w:szCs w:val="24"/>
                <w:u w:val="none"/>
                <w:lang w:val="en-US" w:eastAsia="zh-CN" w:bidi="ar"/>
              </w:rPr>
              <w:t>向日葵（玩具熊）、双色鸢尾、土人参等；</w:t>
            </w:r>
          </w:p>
          <w:p w14:paraId="11BA4FCF">
            <w:pPr>
              <w:keepNext w:val="0"/>
              <w:keepLines w:val="0"/>
              <w:widowControl/>
              <w:suppressLineNumbers w:val="0"/>
              <w:jc w:val="both"/>
              <w:textAlignment w:val="center"/>
              <w:rPr>
                <w:rFonts w:hint="eastAsia" w:ascii="宋体" w:hAnsi="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时花</w:t>
            </w:r>
            <w:r>
              <w:rPr>
                <w:rFonts w:hint="eastAsia" w:ascii="宋体" w:hAnsi="宋体" w:cs="宋体"/>
                <w:i w:val="0"/>
                <w:iCs w:val="0"/>
                <w:color w:val="auto"/>
                <w:kern w:val="0"/>
                <w:sz w:val="24"/>
                <w:szCs w:val="24"/>
                <w:u w:val="none"/>
                <w:lang w:val="en-US" w:eastAsia="zh-CN" w:bidi="ar"/>
              </w:rPr>
              <w:t>F</w:t>
            </w:r>
            <w:r>
              <w:rPr>
                <w:rFonts w:hint="eastAsia" w:ascii="宋体" w:hAnsi="宋体" w:eastAsia="宋体" w:cs="宋体"/>
                <w:i w:val="0"/>
                <w:iCs w:val="0"/>
                <w:color w:val="auto"/>
                <w:kern w:val="0"/>
                <w:sz w:val="24"/>
                <w:szCs w:val="24"/>
                <w:u w:val="none"/>
                <w:lang w:val="en-US" w:eastAsia="zh-CN" w:bidi="ar"/>
              </w:rPr>
              <w:t>：</w:t>
            </w:r>
            <w:r>
              <w:rPr>
                <w:rFonts w:hint="eastAsia" w:ascii="宋体" w:hAnsi="宋体" w:cs="宋体"/>
                <w:i w:val="0"/>
                <w:iCs w:val="0"/>
                <w:color w:val="auto"/>
                <w:kern w:val="0"/>
                <w:sz w:val="24"/>
                <w:szCs w:val="24"/>
                <w:u w:val="none"/>
                <w:lang w:val="en-US" w:eastAsia="zh-CN" w:bidi="ar"/>
              </w:rPr>
              <w:t>向日葵（无限阳光）、狐尾天门冬等；</w:t>
            </w:r>
          </w:p>
          <w:p w14:paraId="3AA2E47B">
            <w:pPr>
              <w:keepNext w:val="0"/>
              <w:keepLines w:val="0"/>
              <w:widowControl/>
              <w:suppressLineNumbers w:val="0"/>
              <w:jc w:val="both"/>
              <w:textAlignment w:val="center"/>
              <w:rPr>
                <w:rFonts w:hint="default" w:ascii="宋体" w:hAnsi="宋体" w:cs="宋体"/>
                <w:i w:val="0"/>
                <w:iCs w:val="0"/>
                <w:color w:val="000000"/>
                <w:kern w:val="0"/>
                <w:sz w:val="18"/>
                <w:szCs w:val="18"/>
                <w:u w:val="none"/>
                <w:lang w:val="en-US" w:eastAsia="zh-CN" w:bidi="ar"/>
              </w:rPr>
            </w:pPr>
            <w:r>
              <w:rPr>
                <w:rFonts w:hint="eastAsia" w:ascii="宋体" w:hAnsi="宋体" w:eastAsia="宋体" w:cs="宋体"/>
                <w:i w:val="0"/>
                <w:iCs w:val="0"/>
                <w:color w:val="auto"/>
                <w:kern w:val="0"/>
                <w:sz w:val="24"/>
                <w:szCs w:val="24"/>
                <w:u w:val="none"/>
                <w:lang w:val="en-US" w:eastAsia="zh-CN" w:bidi="ar"/>
              </w:rPr>
              <w:t>时花</w:t>
            </w:r>
            <w:r>
              <w:rPr>
                <w:rFonts w:hint="eastAsia" w:ascii="宋体" w:hAnsi="宋体" w:cs="宋体"/>
                <w:i w:val="0"/>
                <w:iCs w:val="0"/>
                <w:color w:val="auto"/>
                <w:kern w:val="0"/>
                <w:sz w:val="24"/>
                <w:szCs w:val="24"/>
                <w:u w:val="none"/>
                <w:lang w:val="en-US" w:eastAsia="zh-CN" w:bidi="ar"/>
              </w:rPr>
              <w:t>G</w:t>
            </w:r>
            <w:r>
              <w:rPr>
                <w:rFonts w:hint="eastAsia" w:ascii="宋体" w:hAnsi="宋体" w:eastAsia="宋体" w:cs="宋体"/>
                <w:i w:val="0"/>
                <w:iCs w:val="0"/>
                <w:color w:val="auto"/>
                <w:kern w:val="0"/>
                <w:sz w:val="24"/>
                <w:szCs w:val="24"/>
                <w:u w:val="none"/>
                <w:lang w:val="en-US" w:eastAsia="zh-CN" w:bidi="ar"/>
              </w:rPr>
              <w:t>：绣球花、穗花牡荆、伯列恒之星</w:t>
            </w:r>
            <w:r>
              <w:rPr>
                <w:rFonts w:hint="eastAsia" w:ascii="宋体" w:hAnsi="宋体" w:cs="宋体"/>
                <w:i w:val="0"/>
                <w:iCs w:val="0"/>
                <w:color w:val="auto"/>
                <w:kern w:val="0"/>
                <w:sz w:val="24"/>
                <w:szCs w:val="24"/>
                <w:u w:val="none"/>
                <w:lang w:val="en-US" w:eastAsia="zh-CN" w:bidi="ar"/>
              </w:rPr>
              <w:t>等。</w:t>
            </w:r>
          </w:p>
        </w:tc>
      </w:tr>
    </w:tbl>
    <w:p w14:paraId="3DBD7CCE">
      <w:pPr>
        <w:pageBreakBefore w:val="0"/>
        <w:widowControl/>
        <w:kinsoku/>
        <w:wordWrap/>
        <w:overflowPunct/>
        <w:topLinePunct w:val="0"/>
        <w:bidi w:val="0"/>
        <w:snapToGrid/>
        <w:spacing w:line="240" w:lineRule="auto"/>
        <w:ind w:firstLine="0" w:firstLineChars="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注：</w:t>
      </w:r>
    </w:p>
    <w:p w14:paraId="7D72402B">
      <w:pPr>
        <w:pageBreakBefore w:val="0"/>
        <w:widowControl/>
        <w:numPr>
          <w:ilvl w:val="0"/>
          <w:numId w:val="0"/>
        </w:numPr>
        <w:kinsoku/>
        <w:wordWrap/>
        <w:overflowPunct/>
        <w:topLinePunct w:val="0"/>
        <w:bidi w:val="0"/>
        <w:snapToGrid/>
        <w:spacing w:line="240" w:lineRule="auto"/>
        <w:ind w:firstLine="0" w:firstLineChars="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1.</w:t>
      </w:r>
      <w:r>
        <w:rPr>
          <w:rFonts w:hint="eastAsia" w:ascii="宋体" w:hAnsi="宋体" w:eastAsia="宋体" w:cs="宋体"/>
          <w:color w:val="000000" w:themeColor="text1"/>
          <w:sz w:val="24"/>
          <w:szCs w:val="24"/>
          <w:highlight w:val="none"/>
          <w:lang w:val="en-US" w:eastAsia="zh-CN"/>
          <w14:textFill>
            <w14:solidFill>
              <w14:schemeClr w14:val="tx1"/>
            </w14:solidFill>
          </w14:textFill>
        </w:rPr>
        <w:t>本《采购需求》的项目供货清单所列为</w:t>
      </w:r>
      <w:r>
        <w:rPr>
          <w:rFonts w:hint="eastAsia" w:ascii="宋体" w:hAnsi="宋体" w:cs="宋体"/>
          <w:color w:val="000000" w:themeColor="text1"/>
          <w:sz w:val="24"/>
          <w:szCs w:val="24"/>
          <w:highlight w:val="none"/>
          <w:lang w:val="en-US" w:eastAsia="zh-CN"/>
          <w14:textFill>
            <w14:solidFill>
              <w14:schemeClr w14:val="tx1"/>
            </w14:solidFill>
          </w14:textFill>
        </w:rPr>
        <w:t>2025年第32届广州园林博览会专项经费（秋季专场）</w:t>
      </w:r>
      <w:r>
        <w:rPr>
          <w:rFonts w:hint="eastAsia" w:ascii="宋体" w:hAnsi="宋体" w:eastAsia="宋体" w:cs="宋体"/>
          <w:color w:val="000000" w:themeColor="text1"/>
          <w:sz w:val="24"/>
          <w:szCs w:val="24"/>
          <w:highlight w:val="none"/>
          <w:lang w:val="en-US" w:eastAsia="zh-CN"/>
          <w14:textFill>
            <w14:solidFill>
              <w14:schemeClr w14:val="tx1"/>
            </w14:solidFill>
          </w14:textFill>
        </w:rPr>
        <w:t>苗木采购的主要花卉苗木，具体品种、规格和数量以采购人下达的任务单为准。采购清单中所列最高单价已包含花卉苗木、设计、生产、采购、包装、装卸、运输、检验检疫及售后服务期内的维护保养等所有费用，以及成交供应商认为必要的其他货物、材料、服务及合同实施过程中不可预见全部费用。</w:t>
      </w:r>
    </w:p>
    <w:p w14:paraId="25CE2A90">
      <w:pPr>
        <w:pageBreakBefore w:val="0"/>
        <w:widowControl/>
        <w:numPr>
          <w:ilvl w:val="0"/>
          <w:numId w:val="0"/>
        </w:numPr>
        <w:kinsoku/>
        <w:wordWrap/>
        <w:overflowPunct/>
        <w:topLinePunct w:val="0"/>
        <w:bidi w:val="0"/>
        <w:snapToGrid/>
        <w:spacing w:line="240" w:lineRule="auto"/>
        <w:ind w:firstLine="0" w:firstLineChars="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cs="宋体"/>
          <w:b/>
          <w:bCs/>
          <w:color w:val="000000" w:themeColor="text1"/>
          <w:sz w:val="24"/>
          <w:szCs w:val="24"/>
          <w:highlight w:val="none"/>
          <w:lang w:val="en-US" w:eastAsia="zh-CN"/>
          <w14:textFill>
            <w14:solidFill>
              <w14:schemeClr w14:val="tx1"/>
            </w14:solidFill>
          </w14:textFill>
        </w:rPr>
        <w:t>2.</w:t>
      </w:r>
      <w:r>
        <w:rPr>
          <w:rFonts w:hint="eastAsia" w:ascii="宋体" w:hAnsi="宋体" w:cs="宋体"/>
          <w:b/>
          <w:bCs/>
          <w:color w:val="000000" w:themeColor="text1"/>
          <w:sz w:val="24"/>
          <w:szCs w:val="24"/>
          <w:highlight w:val="none"/>
          <w14:textFill>
            <w14:solidFill>
              <w14:schemeClr w14:val="tx1"/>
            </w14:solidFill>
          </w14:textFill>
        </w:rPr>
        <w:t>供应商须按照《采购需求》的项目供货清单内容进行报价，综合单价报价及总价报价不得超过其相应最高限价，响应时须提供已标价的《项目供货清单》作为签订合同后支付及结算的依据。</w:t>
      </w:r>
    </w:p>
    <w:p w14:paraId="74BA4B69">
      <w:pPr>
        <w:pageBreakBefore w:val="0"/>
        <w:widowControl w:val="0"/>
        <w:kinsoku/>
        <w:wordWrap/>
        <w:overflowPunct/>
        <w:topLinePunct w:val="0"/>
        <w:bidi w:val="0"/>
        <w:snapToGrid/>
        <w:spacing w:line="520" w:lineRule="exact"/>
        <w:ind w:firstLine="560" w:firstLineChars="200"/>
        <w:textAlignment w:val="auto"/>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四、商务要求</w:t>
      </w:r>
    </w:p>
    <w:p w14:paraId="1EE891C6">
      <w:pPr>
        <w:pageBreakBefore w:val="0"/>
        <w:widowControl w:val="0"/>
        <w:kinsoku/>
        <w:wordWrap/>
        <w:overflowPunct/>
        <w:topLinePunct w:val="0"/>
        <w:bidi w:val="0"/>
        <w:snapToGrid/>
        <w:spacing w:line="52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1.</w:t>
      </w:r>
      <w:r>
        <w:rPr>
          <w:rFonts w:hint="eastAsia" w:asciiTheme="minorEastAsia" w:hAnsiTheme="minorEastAsia" w:eastAsiaTheme="minorEastAsia" w:cstheme="minorEastAsia"/>
          <w:sz w:val="28"/>
          <w:szCs w:val="28"/>
        </w:rPr>
        <w:t>交付时间与地点：</w:t>
      </w:r>
    </w:p>
    <w:p w14:paraId="37657628">
      <w:pPr>
        <w:pageBreakBefore w:val="0"/>
        <w:widowControl w:val="0"/>
        <w:kinsoku/>
        <w:wordWrap/>
        <w:overflowPunct/>
        <w:topLinePunct w:val="0"/>
        <w:bidi w:val="0"/>
        <w:snapToGrid/>
        <w:spacing w:line="520" w:lineRule="exact"/>
        <w:ind w:firstLine="560" w:firstLineChars="200"/>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交付时间：</w:t>
      </w:r>
      <w:r>
        <w:rPr>
          <w:rFonts w:hint="eastAsia" w:asciiTheme="minorEastAsia" w:hAnsiTheme="minorEastAsia" w:eastAsiaTheme="minorEastAsia" w:cstheme="minorEastAsia"/>
          <w:sz w:val="28"/>
          <w:szCs w:val="28"/>
          <w:lang w:val="en-US" w:eastAsia="zh-CN"/>
        </w:rPr>
        <w:t>2025年9月25日18点</w:t>
      </w:r>
      <w:r>
        <w:rPr>
          <w:rFonts w:hint="eastAsia"/>
          <w:sz w:val="28"/>
          <w:szCs w:val="28"/>
          <w:lang w:val="en-US" w:eastAsia="zh-CN"/>
        </w:rPr>
        <w:t>00</w:t>
      </w:r>
      <w:r>
        <w:rPr>
          <w:rFonts w:hint="eastAsia"/>
          <w:sz w:val="28"/>
          <w:szCs w:val="28"/>
        </w:rPr>
        <w:t>分（北京时间）</w:t>
      </w:r>
    </w:p>
    <w:p w14:paraId="504C16BA">
      <w:pPr>
        <w:pageBreakBefore w:val="0"/>
        <w:widowControl w:val="0"/>
        <w:kinsoku/>
        <w:wordWrap/>
        <w:overflowPunct/>
        <w:topLinePunct w:val="0"/>
        <w:bidi w:val="0"/>
        <w:snapToGrid/>
        <w:spacing w:line="52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交付地点：</w:t>
      </w:r>
      <w:r>
        <w:rPr>
          <w:rFonts w:hint="eastAsia"/>
          <w:sz w:val="28"/>
          <w:szCs w:val="28"/>
          <w:lang w:val="en-US" w:eastAsia="zh-CN"/>
        </w:rPr>
        <w:t>广州市白云区广园中路428号</w:t>
      </w:r>
    </w:p>
    <w:p w14:paraId="5D137ACE">
      <w:pPr>
        <w:pageBreakBefore w:val="0"/>
        <w:widowControl w:val="0"/>
        <w:numPr>
          <w:ilvl w:val="0"/>
          <w:numId w:val="0"/>
        </w:numPr>
        <w:kinsoku/>
        <w:wordWrap/>
        <w:overflowPunct/>
        <w:topLinePunct w:val="0"/>
        <w:bidi w:val="0"/>
        <w:snapToGrid/>
        <w:spacing w:line="52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2.</w:t>
      </w:r>
      <w:r>
        <w:rPr>
          <w:rFonts w:hint="eastAsia" w:asciiTheme="minorEastAsia" w:hAnsiTheme="minorEastAsia" w:eastAsiaTheme="minorEastAsia" w:cstheme="minorEastAsia"/>
          <w:sz w:val="28"/>
          <w:szCs w:val="28"/>
        </w:rPr>
        <w:t>付款方式：</w:t>
      </w:r>
    </w:p>
    <w:p w14:paraId="529E5185">
      <w:pPr>
        <w:pageBreakBefore w:val="0"/>
        <w:widowControl w:val="0"/>
        <w:numPr>
          <w:ilvl w:val="0"/>
          <w:numId w:val="0"/>
        </w:numPr>
        <w:kinsoku/>
        <w:wordWrap/>
        <w:overflowPunct/>
        <w:topLinePunct w:val="0"/>
        <w:bidi w:val="0"/>
        <w:snapToGrid/>
        <w:spacing w:line="52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1）</w:t>
      </w:r>
      <w:r>
        <w:rPr>
          <w:rFonts w:hint="eastAsia" w:asciiTheme="minorEastAsia" w:hAnsiTheme="minorEastAsia" w:eastAsiaTheme="minorEastAsia" w:cstheme="minorEastAsia"/>
          <w:sz w:val="28"/>
          <w:szCs w:val="28"/>
        </w:rPr>
        <w:t>预付款：在合同签订后，采购人向成交供应商支付合同总额的50%作为预付款</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bidi="ar"/>
        </w:rPr>
        <w:t>成交供应商提交请款资料后，采购人才可办理支付手续，付款时限以采购人办理资金拨付审批手续的时间点为准</w:t>
      </w:r>
      <w:r>
        <w:rPr>
          <w:rFonts w:hint="eastAsia" w:asciiTheme="minorEastAsia" w:hAnsiTheme="minorEastAsia" w:eastAsiaTheme="minorEastAsia" w:cstheme="minorEastAsia"/>
          <w:sz w:val="28"/>
          <w:szCs w:val="28"/>
        </w:rPr>
        <w:t>。</w:t>
      </w:r>
    </w:p>
    <w:p w14:paraId="67286649">
      <w:pPr>
        <w:pageBreakBefore w:val="0"/>
        <w:widowControl/>
        <w:numPr>
          <w:ilvl w:val="0"/>
          <w:numId w:val="0"/>
        </w:numPr>
        <w:kinsoku/>
        <w:wordWrap/>
        <w:overflowPunct/>
        <w:topLinePunct w:val="0"/>
        <w:bidi w:val="0"/>
        <w:snapToGrid/>
        <w:spacing w:line="520" w:lineRule="exact"/>
        <w:ind w:firstLine="560" w:firstLineChars="20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2）</w:t>
      </w:r>
      <w:r>
        <w:rPr>
          <w:rFonts w:hint="eastAsia" w:asciiTheme="minorEastAsia" w:hAnsiTheme="minorEastAsia" w:eastAsiaTheme="minorEastAsia" w:cstheme="minorEastAsia"/>
          <w:sz w:val="28"/>
          <w:szCs w:val="28"/>
        </w:rPr>
        <w:t>进度款：</w:t>
      </w:r>
      <w:r>
        <w:rPr>
          <w:rFonts w:hint="eastAsia" w:asciiTheme="minorEastAsia" w:hAnsiTheme="minorEastAsia" w:eastAsiaTheme="minorEastAsia" w:cstheme="minorEastAsia"/>
          <w:sz w:val="28"/>
          <w:szCs w:val="28"/>
          <w:lang w:val="en-US" w:eastAsia="zh-CN" w:bidi="ar"/>
        </w:rPr>
        <w:t>进度款先行抵扣预付款，直至所有预付款抵扣完毕，</w:t>
      </w:r>
      <w:r>
        <w:rPr>
          <w:rFonts w:hint="eastAsia" w:asciiTheme="minorEastAsia" w:hAnsiTheme="minorEastAsia" w:eastAsiaTheme="minorEastAsia" w:cstheme="minorEastAsia"/>
          <w:sz w:val="28"/>
          <w:szCs w:val="28"/>
        </w:rPr>
        <w:t>在成交供应商供货金额超过合同总额的50%后，实行按</w:t>
      </w:r>
      <w:r>
        <w:rPr>
          <w:rFonts w:hint="eastAsia" w:asciiTheme="minorEastAsia" w:hAnsiTheme="minorEastAsia" w:eastAsiaTheme="minorEastAsia" w:cstheme="minorEastAsia"/>
          <w:sz w:val="28"/>
          <w:szCs w:val="28"/>
          <w:lang w:val="en-US" w:eastAsia="zh-CN"/>
        </w:rPr>
        <w:t>进度</w:t>
      </w:r>
      <w:r>
        <w:rPr>
          <w:rFonts w:hint="eastAsia" w:asciiTheme="minorEastAsia" w:hAnsiTheme="minorEastAsia" w:eastAsiaTheme="minorEastAsia" w:cstheme="minorEastAsia"/>
          <w:sz w:val="28"/>
          <w:szCs w:val="28"/>
        </w:rPr>
        <w:t>结算，</w:t>
      </w:r>
      <w:r>
        <w:rPr>
          <w:rFonts w:hint="eastAsia" w:asciiTheme="minorEastAsia" w:hAnsiTheme="minorEastAsia" w:eastAsiaTheme="minorEastAsia" w:cstheme="minorEastAsia"/>
          <w:sz w:val="28"/>
          <w:szCs w:val="28"/>
          <w:lang w:val="en-US" w:eastAsia="zh-CN"/>
        </w:rPr>
        <w:t>每次需结算进度款前</w:t>
      </w:r>
      <w:r>
        <w:rPr>
          <w:rFonts w:hint="eastAsia" w:asciiTheme="minorEastAsia" w:hAnsiTheme="minorEastAsia" w:eastAsiaTheme="minorEastAsia" w:cstheme="minorEastAsia"/>
          <w:sz w:val="28"/>
          <w:szCs w:val="28"/>
        </w:rPr>
        <w:t>，采购人、成交供应商双方进行供货对账，双方按采购人签收的供货清单及验收合格证明进行对账，成交供应商按采购人的要求提供款项申请材料、等额有效发票等请款资料向采购人申请付款，采购人审批无误后5个工作日内按实际验收数量进行结算，向成交供应商支付至当期已验收合格货物总金额的100%。</w:t>
      </w:r>
      <w:r>
        <w:rPr>
          <w:rFonts w:hint="eastAsia" w:asciiTheme="minorEastAsia" w:hAnsiTheme="minorEastAsia" w:eastAsiaTheme="minorEastAsia" w:cstheme="minorEastAsia"/>
          <w:sz w:val="28"/>
          <w:szCs w:val="28"/>
          <w:lang w:val="en-US" w:eastAsia="zh-CN"/>
        </w:rPr>
        <w:t>发票需提供自产自销农产品增值税发票或增值税专用发票。</w:t>
      </w:r>
    </w:p>
    <w:p w14:paraId="57773166">
      <w:pPr>
        <w:numPr>
          <w:ilvl w:val="0"/>
          <w:numId w:val="0"/>
        </w:numPr>
        <w:spacing w:line="520" w:lineRule="exact"/>
        <w:ind w:firstLine="560" w:firstLineChars="200"/>
        <w:jc w:val="left"/>
        <w:rPr>
          <w:rFonts w:hint="eastAsia" w:asciiTheme="minorEastAsia" w:hAnsiTheme="minorEastAsia" w:eastAsiaTheme="minorEastAsia" w:cstheme="minorEastAsia"/>
          <w:color w:val="auto"/>
          <w:sz w:val="28"/>
          <w:szCs w:val="28"/>
          <w:highlight w:val="none"/>
          <w:lang w:val="en-US" w:eastAsia="zh-CN" w:bidi="ar"/>
        </w:rPr>
      </w:pPr>
      <w:r>
        <w:rPr>
          <w:rFonts w:hint="eastAsia" w:asciiTheme="minorEastAsia" w:hAnsiTheme="minorEastAsia" w:eastAsiaTheme="minorEastAsia" w:cstheme="minorEastAsia"/>
          <w:color w:val="auto"/>
          <w:sz w:val="28"/>
          <w:szCs w:val="28"/>
          <w:highlight w:val="none"/>
          <w:lang w:val="en-US" w:eastAsia="zh-CN" w:bidi="ar"/>
        </w:rPr>
        <w:t>（</w:t>
      </w:r>
      <w:r>
        <w:rPr>
          <w:rFonts w:hint="eastAsia" w:asciiTheme="minorEastAsia" w:hAnsiTheme="minorEastAsia" w:eastAsiaTheme="minorEastAsia" w:cstheme="minorEastAsia"/>
          <w:sz w:val="28"/>
          <w:szCs w:val="28"/>
          <w:lang w:val="en-US" w:eastAsia="zh-CN" w:bidi="ar"/>
        </w:rPr>
        <w:t>3</w:t>
      </w:r>
      <w:r>
        <w:rPr>
          <w:rFonts w:hint="eastAsia" w:asciiTheme="minorEastAsia" w:hAnsiTheme="minorEastAsia" w:eastAsiaTheme="minorEastAsia" w:cstheme="minorEastAsia"/>
          <w:color w:val="auto"/>
          <w:sz w:val="28"/>
          <w:szCs w:val="28"/>
          <w:highlight w:val="none"/>
          <w:lang w:val="en-US" w:eastAsia="zh-CN" w:bidi="ar"/>
        </w:rPr>
        <w:t>）甲方资金到位后，成交供应商提交请款资料后，采购人才可办理支付手续，付款时限以采购人办理资金拨付审批手续的时间点为准。</w:t>
      </w:r>
    </w:p>
    <w:p w14:paraId="670DD56A">
      <w:pPr>
        <w:numPr>
          <w:ilvl w:val="0"/>
          <w:numId w:val="0"/>
        </w:numPr>
        <w:spacing w:line="520" w:lineRule="exact"/>
        <w:ind w:firstLine="560" w:firstLineChars="200"/>
        <w:jc w:val="left"/>
        <w:rPr>
          <w:rFonts w:hint="eastAsia" w:asciiTheme="minorEastAsia" w:hAnsiTheme="minorEastAsia" w:eastAsiaTheme="minorEastAsia" w:cstheme="minorEastAsia"/>
          <w:color w:val="auto"/>
          <w:sz w:val="28"/>
          <w:szCs w:val="28"/>
          <w:highlight w:val="none"/>
          <w:lang w:val="en-US" w:eastAsia="zh-CN" w:bidi="ar"/>
        </w:rPr>
      </w:pPr>
      <w:r>
        <w:rPr>
          <w:rFonts w:hint="eastAsia" w:asciiTheme="minorEastAsia" w:hAnsiTheme="minorEastAsia" w:eastAsiaTheme="minorEastAsia" w:cstheme="minorEastAsia"/>
          <w:color w:val="auto"/>
          <w:sz w:val="28"/>
          <w:szCs w:val="28"/>
          <w:highlight w:val="none"/>
          <w:lang w:val="en-US" w:eastAsia="zh-CN" w:bidi="ar"/>
        </w:rPr>
        <w:t>（</w:t>
      </w:r>
      <w:r>
        <w:rPr>
          <w:rFonts w:hint="eastAsia" w:asciiTheme="minorEastAsia" w:hAnsiTheme="minorEastAsia" w:eastAsiaTheme="minorEastAsia" w:cstheme="minorEastAsia"/>
          <w:sz w:val="28"/>
          <w:szCs w:val="28"/>
          <w:lang w:val="en-US" w:eastAsia="zh-CN" w:bidi="ar"/>
        </w:rPr>
        <w:t>4</w:t>
      </w:r>
      <w:r>
        <w:rPr>
          <w:rFonts w:hint="eastAsia" w:asciiTheme="minorEastAsia" w:hAnsiTheme="minorEastAsia" w:eastAsiaTheme="minorEastAsia" w:cstheme="minorEastAsia"/>
          <w:color w:val="auto"/>
          <w:sz w:val="28"/>
          <w:szCs w:val="28"/>
          <w:highlight w:val="none"/>
          <w:lang w:val="en-US" w:eastAsia="zh-CN" w:bidi="ar"/>
        </w:rPr>
        <w:t>）成交供应商的</w:t>
      </w:r>
      <w:r>
        <w:rPr>
          <w:rFonts w:hint="eastAsia" w:asciiTheme="minorEastAsia" w:hAnsiTheme="minorEastAsia" w:eastAsiaTheme="minorEastAsia" w:cstheme="minorEastAsia"/>
          <w:color w:val="auto"/>
          <w:sz w:val="28"/>
          <w:szCs w:val="28"/>
          <w:highlight w:val="none"/>
          <w:lang w:val="en-US" w:eastAsia="zh-CN"/>
        </w:rPr>
        <w:t>响应</w:t>
      </w:r>
      <w:r>
        <w:rPr>
          <w:rFonts w:hint="eastAsia" w:asciiTheme="minorEastAsia" w:hAnsiTheme="minorEastAsia" w:eastAsiaTheme="minorEastAsia" w:cstheme="minorEastAsia"/>
          <w:color w:val="auto"/>
          <w:sz w:val="28"/>
          <w:szCs w:val="28"/>
          <w:highlight w:val="none"/>
          <w:lang w:val="en-US" w:eastAsia="zh-CN" w:bidi="ar"/>
        </w:rPr>
        <w:t>报价、验收合格证明和采购人签署或盖章的《供货清单》为本项目结算及支付的依据。经审定的结算总金额</w:t>
      </w:r>
      <w:r>
        <w:rPr>
          <w:rFonts w:hint="eastAsia" w:asciiTheme="minorEastAsia" w:hAnsiTheme="minorEastAsia" w:eastAsiaTheme="minorEastAsia" w:cstheme="minorEastAsia"/>
          <w:sz w:val="28"/>
          <w:szCs w:val="28"/>
          <w:lang w:val="en-US" w:eastAsia="zh-CN" w:bidi="ar"/>
        </w:rPr>
        <w:t>因实际情况超出合同约定金额的,超出部分不得高于原合同金额的 10%。</w:t>
      </w:r>
    </w:p>
    <w:p w14:paraId="0EDBA794">
      <w:pPr>
        <w:numPr>
          <w:ilvl w:val="0"/>
          <w:numId w:val="0"/>
        </w:numPr>
        <w:spacing w:line="520" w:lineRule="exact"/>
        <w:ind w:firstLine="560" w:firstLineChars="200"/>
        <w:jc w:val="left"/>
        <w:rPr>
          <w:rFonts w:hint="eastAsia" w:asciiTheme="minorEastAsia" w:hAnsiTheme="minorEastAsia" w:eastAsiaTheme="minorEastAsia" w:cstheme="minorEastAsia"/>
          <w:color w:val="auto"/>
          <w:sz w:val="28"/>
          <w:szCs w:val="28"/>
          <w:highlight w:val="none"/>
          <w:lang w:val="en-US" w:eastAsia="zh-CN" w:bidi="ar"/>
        </w:rPr>
      </w:pPr>
      <w:r>
        <w:rPr>
          <w:rFonts w:hint="eastAsia" w:asciiTheme="minorEastAsia" w:hAnsiTheme="minorEastAsia" w:eastAsiaTheme="minorEastAsia" w:cstheme="minorEastAsia"/>
          <w:color w:val="auto"/>
          <w:sz w:val="28"/>
          <w:szCs w:val="28"/>
          <w:highlight w:val="none"/>
          <w:lang w:val="en-US" w:eastAsia="zh-CN" w:bidi="ar"/>
        </w:rPr>
        <w:t>（</w:t>
      </w:r>
      <w:r>
        <w:rPr>
          <w:rFonts w:hint="eastAsia" w:asciiTheme="minorEastAsia" w:hAnsiTheme="minorEastAsia" w:eastAsiaTheme="minorEastAsia" w:cstheme="minorEastAsia"/>
          <w:sz w:val="28"/>
          <w:szCs w:val="28"/>
          <w:lang w:val="en-US" w:eastAsia="zh-CN" w:bidi="ar"/>
        </w:rPr>
        <w:t>5</w:t>
      </w:r>
      <w:r>
        <w:rPr>
          <w:rFonts w:hint="eastAsia" w:asciiTheme="minorEastAsia" w:hAnsiTheme="minorEastAsia" w:eastAsiaTheme="minorEastAsia" w:cstheme="minorEastAsia"/>
          <w:color w:val="auto"/>
          <w:sz w:val="28"/>
          <w:szCs w:val="28"/>
          <w:highlight w:val="none"/>
          <w:lang w:val="en-US" w:eastAsia="zh-CN" w:bidi="ar"/>
        </w:rPr>
        <w:t>）各品种结算价=成交综合单价*实际验收合格数量。每批次货物结算金额为各品种结算价之和，按实结算。</w:t>
      </w:r>
    </w:p>
    <w:p w14:paraId="4167DE10">
      <w:pPr>
        <w:numPr>
          <w:ilvl w:val="0"/>
          <w:numId w:val="0"/>
        </w:numPr>
        <w:spacing w:line="520" w:lineRule="exact"/>
        <w:ind w:firstLine="560" w:firstLineChars="200"/>
        <w:jc w:val="left"/>
        <w:rPr>
          <w:rFonts w:hint="eastAsia" w:asciiTheme="minorEastAsia" w:hAnsiTheme="minorEastAsia" w:eastAsiaTheme="minorEastAsia" w:cstheme="minorEastAsia"/>
          <w:color w:val="auto"/>
          <w:sz w:val="28"/>
          <w:szCs w:val="28"/>
          <w:highlight w:val="none"/>
          <w:lang w:val="en-US" w:eastAsia="zh-CN" w:bidi="ar"/>
        </w:rPr>
      </w:pPr>
      <w:r>
        <w:rPr>
          <w:rFonts w:hint="eastAsia" w:asciiTheme="minorEastAsia" w:hAnsiTheme="minorEastAsia" w:eastAsiaTheme="minorEastAsia" w:cstheme="minorEastAsia"/>
          <w:color w:val="auto"/>
          <w:sz w:val="28"/>
          <w:szCs w:val="28"/>
          <w:highlight w:val="none"/>
          <w:lang w:val="en-US" w:eastAsia="zh-CN" w:bidi="ar"/>
        </w:rPr>
        <w:t>（6）成交供应商原因导致支付逾期产生的责任与损失均由成交供应商承担。若成交供应商无法提供采购人签收的《供货清单》和验收合格证明，采购人有权按自行统计金额支付费用。</w:t>
      </w:r>
    </w:p>
    <w:p w14:paraId="1972BDDB">
      <w:pPr>
        <w:pageBreakBefore w:val="0"/>
        <w:widowControl w:val="0"/>
        <w:kinsoku/>
        <w:wordWrap/>
        <w:overflowPunct/>
        <w:topLinePunct w:val="0"/>
        <w:bidi w:val="0"/>
        <w:snapToGrid/>
        <w:spacing w:line="52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3.</w:t>
      </w:r>
      <w:r>
        <w:rPr>
          <w:rFonts w:hint="eastAsia" w:asciiTheme="minorEastAsia" w:hAnsiTheme="minorEastAsia" w:eastAsiaTheme="minorEastAsia" w:cstheme="minorEastAsia"/>
          <w:sz w:val="28"/>
          <w:szCs w:val="28"/>
        </w:rPr>
        <w:t>验收</w:t>
      </w:r>
      <w:r>
        <w:rPr>
          <w:rFonts w:hint="eastAsia" w:asciiTheme="minorEastAsia" w:hAnsiTheme="minorEastAsia" w:eastAsiaTheme="minorEastAsia" w:cstheme="minorEastAsia"/>
          <w:sz w:val="28"/>
          <w:szCs w:val="28"/>
          <w:lang w:val="en-US" w:eastAsia="zh-CN"/>
        </w:rPr>
        <w:t>流程</w:t>
      </w:r>
      <w:r>
        <w:rPr>
          <w:rFonts w:hint="eastAsia" w:asciiTheme="minorEastAsia" w:hAnsiTheme="minorEastAsia" w:eastAsiaTheme="minorEastAsia" w:cstheme="minorEastAsia"/>
          <w:sz w:val="28"/>
          <w:szCs w:val="28"/>
        </w:rPr>
        <w:t>：​</w:t>
      </w:r>
    </w:p>
    <w:p w14:paraId="054EE9A9">
      <w:pPr>
        <w:pageBreakBefore w:val="0"/>
        <w:widowControl w:val="0"/>
        <w:numPr>
          <w:ilvl w:val="0"/>
          <w:numId w:val="0"/>
        </w:numPr>
        <w:kinsoku/>
        <w:wordWrap/>
        <w:overflowPunct/>
        <w:topLinePunct w:val="0"/>
        <w:bidi w:val="0"/>
        <w:snapToGrid/>
        <w:spacing w:line="520" w:lineRule="exact"/>
        <w:ind w:firstLine="560" w:firstLineChars="200"/>
        <w:textAlignment w:val="auto"/>
        <w:rPr>
          <w:rFonts w:hint="eastAsia" w:asciiTheme="minorEastAsia" w:hAnsiTheme="minorEastAsia" w:eastAsiaTheme="minorEastAsia" w:cstheme="minorEastAsia"/>
          <w:sz w:val="28"/>
          <w:szCs w:val="28"/>
          <w:u w:val="none"/>
        </w:rPr>
      </w:pPr>
      <w:r>
        <w:rPr>
          <w:rFonts w:hint="eastAsia" w:asciiTheme="minorEastAsia" w:hAnsiTheme="minorEastAsia" w:eastAsiaTheme="minorEastAsia" w:cstheme="minorEastAsia"/>
          <w:sz w:val="28"/>
          <w:szCs w:val="28"/>
          <w:u w:val="none"/>
        </w:rPr>
        <w:t>（1）现场验收：成交供应商按采购人指定的时间发货，并将货物送到指定场地，采购人进行现场验收并作出确认。</w:t>
      </w:r>
    </w:p>
    <w:p w14:paraId="78532F72">
      <w:pPr>
        <w:pageBreakBefore w:val="0"/>
        <w:widowControl w:val="0"/>
        <w:numPr>
          <w:ilvl w:val="0"/>
          <w:numId w:val="0"/>
        </w:numPr>
        <w:kinsoku/>
        <w:wordWrap/>
        <w:overflowPunct/>
        <w:topLinePunct w:val="0"/>
        <w:bidi w:val="0"/>
        <w:snapToGrid/>
        <w:spacing w:line="520" w:lineRule="exact"/>
        <w:ind w:firstLine="560" w:firstLineChars="200"/>
        <w:textAlignment w:val="auto"/>
        <w:rPr>
          <w:rFonts w:hint="eastAsia" w:asciiTheme="minorEastAsia" w:hAnsiTheme="minorEastAsia" w:eastAsiaTheme="minorEastAsia" w:cstheme="minorEastAsia"/>
          <w:sz w:val="28"/>
          <w:szCs w:val="28"/>
          <w:u w:val="none"/>
        </w:rPr>
      </w:pPr>
      <w:r>
        <w:rPr>
          <w:rFonts w:hint="eastAsia" w:asciiTheme="minorEastAsia" w:hAnsiTheme="minorEastAsia" w:eastAsiaTheme="minorEastAsia" w:cstheme="minorEastAsia"/>
          <w:sz w:val="28"/>
          <w:szCs w:val="28"/>
          <w:u w:val="none"/>
        </w:rPr>
        <w:t>（2）合同验收：成交供应商按采购人要求完成全部货物供货后，向采购人提交所有过程资料、现场验收资料等及履约验收申请后7天内进行，由采购人、成交供应商等相关人员进行整体验收。</w:t>
      </w:r>
    </w:p>
    <w:p w14:paraId="193ECAEE">
      <w:pPr>
        <w:widowControl w:val="0"/>
        <w:numPr>
          <w:ilvl w:val="0"/>
          <w:numId w:val="0"/>
        </w:numPr>
        <w:spacing w:line="520" w:lineRule="exact"/>
        <w:ind w:firstLine="560" w:firstLineChars="200"/>
        <w:jc w:val="left"/>
        <w:rPr>
          <w:rFonts w:hint="eastAsia" w:asciiTheme="minorEastAsia" w:hAnsiTheme="minorEastAsia" w:eastAsiaTheme="minorEastAsia" w:cstheme="minorEastAsia"/>
          <w:sz w:val="28"/>
          <w:szCs w:val="28"/>
          <w:u w:val="none"/>
          <w:lang w:val="en-US" w:eastAsia="zh-CN"/>
        </w:rPr>
      </w:pPr>
      <w:r>
        <w:rPr>
          <w:rFonts w:hint="eastAsia" w:asciiTheme="minorEastAsia" w:hAnsiTheme="minorEastAsia" w:eastAsiaTheme="minorEastAsia" w:cstheme="minorEastAsia"/>
          <w:sz w:val="28"/>
          <w:szCs w:val="28"/>
          <w:u w:val="none"/>
          <w:lang w:val="en-US" w:eastAsia="zh-CN"/>
        </w:rPr>
        <w:t>4.履约验收内容</w:t>
      </w:r>
    </w:p>
    <w:p w14:paraId="3A2A68A5">
      <w:pPr>
        <w:widowControl w:val="0"/>
        <w:numPr>
          <w:ilvl w:val="0"/>
          <w:numId w:val="0"/>
        </w:numPr>
        <w:spacing w:line="520" w:lineRule="exact"/>
        <w:ind w:firstLine="560" w:firstLineChars="200"/>
        <w:jc w:val="left"/>
        <w:rPr>
          <w:rFonts w:hint="eastAsia" w:asciiTheme="minorEastAsia" w:hAnsiTheme="minorEastAsia" w:eastAsiaTheme="minorEastAsia" w:cstheme="minorEastAsia"/>
          <w:color w:val="auto"/>
          <w:kern w:val="2"/>
          <w:sz w:val="28"/>
          <w:szCs w:val="28"/>
          <w:highlight w:val="none"/>
          <w:u w:val="none"/>
          <w:lang w:val="en-US" w:eastAsia="zh-CN" w:bidi="ar"/>
        </w:rPr>
      </w:pPr>
      <w:r>
        <w:rPr>
          <w:rFonts w:hint="eastAsia" w:asciiTheme="minorEastAsia" w:hAnsiTheme="minorEastAsia" w:eastAsiaTheme="minorEastAsia" w:cstheme="minorEastAsia"/>
          <w:color w:val="auto"/>
          <w:kern w:val="2"/>
          <w:sz w:val="28"/>
          <w:szCs w:val="28"/>
          <w:highlight w:val="none"/>
          <w:u w:val="none"/>
          <w:lang w:val="en-US" w:eastAsia="zh-CN" w:bidi="ar"/>
        </w:rPr>
        <w:t>（1）</w:t>
      </w:r>
      <w:r>
        <w:rPr>
          <w:rFonts w:hint="eastAsia" w:asciiTheme="minorEastAsia" w:hAnsiTheme="minorEastAsia" w:eastAsiaTheme="minorEastAsia" w:cstheme="minorEastAsia"/>
          <w:color w:val="auto"/>
          <w:sz w:val="28"/>
          <w:szCs w:val="28"/>
          <w:highlight w:val="none"/>
          <w:u w:val="none"/>
          <w:lang w:val="en-US" w:eastAsia="zh-CN"/>
        </w:rPr>
        <w:t>货物</w:t>
      </w:r>
      <w:r>
        <w:rPr>
          <w:rFonts w:hint="eastAsia" w:asciiTheme="minorEastAsia" w:hAnsiTheme="minorEastAsia" w:eastAsiaTheme="minorEastAsia" w:cstheme="minorEastAsia"/>
          <w:color w:val="auto"/>
          <w:sz w:val="28"/>
          <w:szCs w:val="28"/>
          <w:highlight w:val="none"/>
          <w:u w:val="none"/>
          <w:lang w:bidi="ar"/>
        </w:rPr>
        <w:t>验收按国家有关的规定、规范进行。验收时如发现所交付的</w:t>
      </w:r>
      <w:r>
        <w:rPr>
          <w:rFonts w:hint="eastAsia" w:asciiTheme="minorEastAsia" w:hAnsiTheme="minorEastAsia" w:eastAsiaTheme="minorEastAsia" w:cstheme="minorEastAsia"/>
          <w:color w:val="auto"/>
          <w:sz w:val="28"/>
          <w:szCs w:val="28"/>
          <w:highlight w:val="none"/>
          <w:u w:val="none"/>
          <w:lang w:val="en-US" w:eastAsia="zh-CN"/>
        </w:rPr>
        <w:t>货物</w:t>
      </w:r>
      <w:r>
        <w:rPr>
          <w:rFonts w:hint="eastAsia" w:asciiTheme="minorEastAsia" w:hAnsiTheme="minorEastAsia" w:eastAsiaTheme="minorEastAsia" w:cstheme="minorEastAsia"/>
          <w:color w:val="auto"/>
          <w:sz w:val="28"/>
          <w:szCs w:val="28"/>
          <w:highlight w:val="none"/>
          <w:u w:val="none"/>
          <w:lang w:bidi="ar"/>
        </w:rPr>
        <w:t>有次品、损坏或其它不符合</w:t>
      </w:r>
      <w:r>
        <w:rPr>
          <w:rFonts w:hint="eastAsia" w:asciiTheme="minorEastAsia" w:hAnsiTheme="minorEastAsia" w:eastAsiaTheme="minorEastAsia" w:cstheme="minorEastAsia"/>
          <w:color w:val="auto"/>
          <w:sz w:val="28"/>
          <w:szCs w:val="28"/>
          <w:highlight w:val="none"/>
          <w:u w:val="none"/>
          <w:lang w:val="en-US" w:eastAsia="zh-CN" w:bidi="ar"/>
        </w:rPr>
        <w:t>本</w:t>
      </w:r>
      <w:r>
        <w:rPr>
          <w:rFonts w:hint="eastAsia" w:asciiTheme="minorEastAsia" w:hAnsiTheme="minorEastAsia" w:eastAsiaTheme="minorEastAsia" w:cstheme="minorEastAsia"/>
          <w:color w:val="auto"/>
          <w:sz w:val="28"/>
          <w:szCs w:val="28"/>
          <w:highlight w:val="none"/>
          <w:u w:val="none"/>
          <w:lang w:bidi="ar"/>
        </w:rPr>
        <w:t>合同规定之情形者，采购人应做出详尽的现场记录，或由采购人、</w:t>
      </w:r>
      <w:r>
        <w:rPr>
          <w:rFonts w:hint="eastAsia" w:asciiTheme="minorEastAsia" w:hAnsiTheme="minorEastAsia" w:eastAsiaTheme="minorEastAsia" w:cstheme="minorEastAsia"/>
          <w:color w:val="auto"/>
          <w:sz w:val="28"/>
          <w:szCs w:val="28"/>
          <w:highlight w:val="none"/>
          <w:u w:val="none"/>
          <w:lang w:eastAsia="zh-CN" w:bidi="ar"/>
        </w:rPr>
        <w:t>成交供应商</w:t>
      </w:r>
      <w:r>
        <w:rPr>
          <w:rFonts w:hint="eastAsia" w:asciiTheme="minorEastAsia" w:hAnsiTheme="minorEastAsia" w:eastAsiaTheme="minorEastAsia" w:cstheme="minorEastAsia"/>
          <w:color w:val="auto"/>
          <w:sz w:val="28"/>
          <w:szCs w:val="28"/>
          <w:highlight w:val="none"/>
          <w:u w:val="none"/>
          <w:lang w:bidi="ar"/>
        </w:rPr>
        <w:t>双方签署备忘录。此现场记录或备忘录可用作补充、缺失和更换损坏</w:t>
      </w:r>
      <w:r>
        <w:rPr>
          <w:rFonts w:hint="eastAsia" w:asciiTheme="minorEastAsia" w:hAnsiTheme="minorEastAsia" w:eastAsiaTheme="minorEastAsia" w:cstheme="minorEastAsia"/>
          <w:color w:val="auto"/>
          <w:sz w:val="28"/>
          <w:szCs w:val="28"/>
          <w:highlight w:val="none"/>
          <w:u w:val="none"/>
          <w:lang w:val="en-US" w:eastAsia="zh-CN"/>
        </w:rPr>
        <w:t>货物</w:t>
      </w:r>
      <w:r>
        <w:rPr>
          <w:rFonts w:hint="eastAsia" w:asciiTheme="minorEastAsia" w:hAnsiTheme="minorEastAsia" w:eastAsiaTheme="minorEastAsia" w:cstheme="minorEastAsia"/>
          <w:color w:val="auto"/>
          <w:sz w:val="28"/>
          <w:szCs w:val="28"/>
          <w:highlight w:val="none"/>
          <w:u w:val="none"/>
          <w:lang w:bidi="ar"/>
        </w:rPr>
        <w:t>的有效证据。若造成迟延供货，</w:t>
      </w:r>
      <w:r>
        <w:rPr>
          <w:rFonts w:hint="eastAsia" w:asciiTheme="minorEastAsia" w:hAnsiTheme="minorEastAsia" w:eastAsiaTheme="minorEastAsia" w:cstheme="minorEastAsia"/>
          <w:color w:val="auto"/>
          <w:sz w:val="28"/>
          <w:szCs w:val="28"/>
          <w:highlight w:val="none"/>
          <w:u w:val="none"/>
          <w:lang w:eastAsia="zh-CN" w:bidi="ar"/>
        </w:rPr>
        <w:t>成交供应商</w:t>
      </w:r>
      <w:r>
        <w:rPr>
          <w:rFonts w:hint="eastAsia" w:asciiTheme="minorEastAsia" w:hAnsiTheme="minorEastAsia" w:eastAsiaTheme="minorEastAsia" w:cstheme="minorEastAsia"/>
          <w:color w:val="auto"/>
          <w:sz w:val="28"/>
          <w:szCs w:val="28"/>
          <w:highlight w:val="none"/>
          <w:u w:val="none"/>
          <w:lang w:bidi="ar"/>
        </w:rPr>
        <w:t>应承担迟延供货的法律责任。</w:t>
      </w:r>
    </w:p>
    <w:p w14:paraId="222D70E9">
      <w:pPr>
        <w:widowControl w:val="0"/>
        <w:numPr>
          <w:ilvl w:val="0"/>
          <w:numId w:val="0"/>
        </w:numPr>
        <w:spacing w:line="520" w:lineRule="exact"/>
        <w:ind w:firstLine="560" w:firstLineChars="200"/>
        <w:jc w:val="left"/>
        <w:rPr>
          <w:rFonts w:hint="eastAsia" w:asciiTheme="minorEastAsia" w:hAnsiTheme="minorEastAsia" w:eastAsiaTheme="minorEastAsia" w:cstheme="minorEastAsia"/>
          <w:color w:val="auto"/>
          <w:sz w:val="28"/>
          <w:szCs w:val="28"/>
          <w:highlight w:val="none"/>
          <w:u w:val="none"/>
          <w:lang w:eastAsia="zh-CN"/>
        </w:rPr>
      </w:pPr>
      <w:r>
        <w:rPr>
          <w:rFonts w:hint="eastAsia" w:asciiTheme="minorEastAsia" w:hAnsiTheme="minorEastAsia" w:eastAsiaTheme="minorEastAsia" w:cstheme="minorEastAsia"/>
          <w:color w:val="auto"/>
          <w:sz w:val="28"/>
          <w:szCs w:val="28"/>
          <w:highlight w:val="none"/>
          <w:u w:val="none"/>
          <w:lang w:eastAsia="zh-CN"/>
        </w:rPr>
        <w:t>（</w:t>
      </w:r>
      <w:r>
        <w:rPr>
          <w:rFonts w:hint="eastAsia" w:asciiTheme="minorEastAsia" w:hAnsiTheme="minorEastAsia" w:eastAsiaTheme="minorEastAsia" w:cstheme="minorEastAsia"/>
          <w:color w:val="auto"/>
          <w:sz w:val="28"/>
          <w:szCs w:val="28"/>
          <w:highlight w:val="none"/>
          <w:u w:val="none"/>
          <w:lang w:val="en-US" w:eastAsia="zh-CN"/>
        </w:rPr>
        <w:t>2</w:t>
      </w:r>
      <w:r>
        <w:rPr>
          <w:rFonts w:hint="eastAsia" w:asciiTheme="minorEastAsia" w:hAnsiTheme="minorEastAsia" w:eastAsiaTheme="minorEastAsia" w:cstheme="minorEastAsia"/>
          <w:color w:val="auto"/>
          <w:sz w:val="28"/>
          <w:szCs w:val="28"/>
          <w:highlight w:val="none"/>
          <w:u w:val="none"/>
          <w:lang w:eastAsia="zh-CN"/>
        </w:rPr>
        <w:t>）</w:t>
      </w:r>
      <w:r>
        <w:rPr>
          <w:rFonts w:hint="eastAsia" w:asciiTheme="minorEastAsia" w:hAnsiTheme="minorEastAsia" w:eastAsiaTheme="minorEastAsia" w:cstheme="minorEastAsia"/>
          <w:color w:val="auto"/>
          <w:sz w:val="28"/>
          <w:szCs w:val="28"/>
          <w:highlight w:val="none"/>
          <w:u w:val="none"/>
          <w:lang w:bidi="ar"/>
        </w:rPr>
        <w:t>如果运输过程中因事故造成</w:t>
      </w:r>
      <w:r>
        <w:rPr>
          <w:rFonts w:hint="eastAsia" w:asciiTheme="minorEastAsia" w:hAnsiTheme="minorEastAsia" w:eastAsiaTheme="minorEastAsia" w:cstheme="minorEastAsia"/>
          <w:color w:val="auto"/>
          <w:sz w:val="28"/>
          <w:szCs w:val="28"/>
          <w:highlight w:val="none"/>
          <w:u w:val="none"/>
          <w:lang w:val="en-US" w:eastAsia="zh-CN"/>
        </w:rPr>
        <w:t>货物</w:t>
      </w:r>
      <w:r>
        <w:rPr>
          <w:rFonts w:hint="eastAsia" w:asciiTheme="minorEastAsia" w:hAnsiTheme="minorEastAsia" w:eastAsiaTheme="minorEastAsia" w:cstheme="minorEastAsia"/>
          <w:color w:val="auto"/>
          <w:sz w:val="28"/>
          <w:szCs w:val="28"/>
          <w:highlight w:val="none"/>
          <w:u w:val="none"/>
          <w:lang w:bidi="ar"/>
        </w:rPr>
        <w:t>短缺、损坏，</w:t>
      </w:r>
      <w:r>
        <w:rPr>
          <w:rFonts w:hint="eastAsia" w:asciiTheme="minorEastAsia" w:hAnsiTheme="minorEastAsia" w:eastAsiaTheme="minorEastAsia" w:cstheme="minorEastAsia"/>
          <w:color w:val="auto"/>
          <w:sz w:val="28"/>
          <w:szCs w:val="28"/>
          <w:highlight w:val="none"/>
          <w:u w:val="none"/>
          <w:lang w:eastAsia="zh-CN" w:bidi="ar"/>
        </w:rPr>
        <w:t>成交供应商</w:t>
      </w:r>
      <w:r>
        <w:rPr>
          <w:rFonts w:hint="eastAsia" w:asciiTheme="minorEastAsia" w:hAnsiTheme="minorEastAsia" w:eastAsiaTheme="minorEastAsia" w:cstheme="minorEastAsia"/>
          <w:color w:val="auto"/>
          <w:sz w:val="28"/>
          <w:szCs w:val="28"/>
          <w:highlight w:val="none"/>
          <w:u w:val="none"/>
          <w:lang w:bidi="ar"/>
        </w:rPr>
        <w:t>应及时安排换装</w:t>
      </w:r>
      <w:r>
        <w:rPr>
          <w:rFonts w:hint="eastAsia" w:asciiTheme="minorEastAsia" w:hAnsiTheme="minorEastAsia" w:eastAsiaTheme="minorEastAsia" w:cstheme="minorEastAsia"/>
          <w:color w:val="auto"/>
          <w:sz w:val="28"/>
          <w:szCs w:val="28"/>
          <w:highlight w:val="none"/>
          <w:u w:val="none"/>
          <w:lang w:val="en-US" w:eastAsia="zh-CN" w:bidi="ar"/>
        </w:rPr>
        <w:t>并承担相应开销</w:t>
      </w:r>
      <w:r>
        <w:rPr>
          <w:rFonts w:hint="eastAsia" w:asciiTheme="minorEastAsia" w:hAnsiTheme="minorEastAsia" w:eastAsiaTheme="minorEastAsia" w:cstheme="minorEastAsia"/>
          <w:color w:val="auto"/>
          <w:sz w:val="28"/>
          <w:szCs w:val="28"/>
          <w:highlight w:val="none"/>
          <w:u w:val="none"/>
          <w:lang w:bidi="ar"/>
        </w:rPr>
        <w:t>，</w:t>
      </w:r>
      <w:r>
        <w:rPr>
          <w:rFonts w:hint="eastAsia" w:asciiTheme="minorEastAsia" w:hAnsiTheme="minorEastAsia" w:eastAsiaTheme="minorEastAsia" w:cstheme="minorEastAsia"/>
          <w:color w:val="auto"/>
          <w:sz w:val="28"/>
          <w:szCs w:val="28"/>
          <w:highlight w:val="none"/>
          <w:u w:val="none"/>
          <w:lang w:val="en-US" w:eastAsia="zh-CN"/>
        </w:rPr>
        <w:t>确保供货</w:t>
      </w:r>
      <w:r>
        <w:rPr>
          <w:rFonts w:hint="eastAsia" w:asciiTheme="minorEastAsia" w:hAnsiTheme="minorEastAsia" w:eastAsiaTheme="minorEastAsia" w:cstheme="minorEastAsia"/>
          <w:color w:val="auto"/>
          <w:sz w:val="28"/>
          <w:szCs w:val="28"/>
          <w:highlight w:val="none"/>
          <w:u w:val="none"/>
          <w:lang w:bidi="ar"/>
        </w:rPr>
        <w:t>成功完成。如在验收过程中，出现需要协调的时候，由采购人组织的协调小组进行协调。</w:t>
      </w:r>
    </w:p>
    <w:p w14:paraId="27973FA6">
      <w:pPr>
        <w:widowControl w:val="0"/>
        <w:numPr>
          <w:ilvl w:val="0"/>
          <w:numId w:val="0"/>
        </w:numPr>
        <w:spacing w:line="520" w:lineRule="exact"/>
        <w:ind w:firstLine="560" w:firstLineChars="200"/>
        <w:rPr>
          <w:rFonts w:hint="eastAsia" w:asciiTheme="minorEastAsia" w:hAnsiTheme="minorEastAsia" w:eastAsiaTheme="minorEastAsia" w:cstheme="minorEastAsia"/>
          <w:b w:val="0"/>
          <w:bCs w:val="0"/>
          <w:color w:val="auto"/>
          <w:sz w:val="28"/>
          <w:szCs w:val="28"/>
          <w:highlight w:val="none"/>
          <w:u w:val="none"/>
        </w:rPr>
      </w:pPr>
      <w:r>
        <w:rPr>
          <w:rFonts w:hint="eastAsia" w:asciiTheme="minorEastAsia" w:hAnsiTheme="minorEastAsia" w:eastAsiaTheme="minorEastAsia" w:cstheme="minorEastAsia"/>
          <w:b w:val="0"/>
          <w:bCs w:val="0"/>
          <w:color w:val="auto"/>
          <w:sz w:val="28"/>
          <w:szCs w:val="28"/>
          <w:highlight w:val="none"/>
          <w:u w:val="none"/>
        </w:rPr>
        <w:t>（3）</w:t>
      </w:r>
      <w:r>
        <w:rPr>
          <w:rFonts w:hint="eastAsia" w:asciiTheme="minorEastAsia" w:hAnsiTheme="minorEastAsia" w:eastAsiaTheme="minorEastAsia" w:cstheme="minorEastAsia"/>
          <w:color w:val="auto"/>
          <w:sz w:val="28"/>
          <w:szCs w:val="28"/>
          <w:highlight w:val="none"/>
          <w:u w:val="none"/>
          <w:lang w:val="en-US" w:eastAsia="zh-CN"/>
        </w:rPr>
        <w:t>花卉苗木</w:t>
      </w:r>
      <w:r>
        <w:rPr>
          <w:rFonts w:hint="eastAsia" w:asciiTheme="minorEastAsia" w:hAnsiTheme="minorEastAsia" w:eastAsiaTheme="minorEastAsia" w:cstheme="minorEastAsia"/>
          <w:b w:val="0"/>
          <w:bCs w:val="0"/>
          <w:color w:val="auto"/>
          <w:sz w:val="28"/>
          <w:szCs w:val="28"/>
          <w:highlight w:val="none"/>
          <w:u w:val="none"/>
        </w:rPr>
        <w:t>规格符合采购人需求，采购的</w:t>
      </w:r>
      <w:r>
        <w:rPr>
          <w:rFonts w:hint="eastAsia" w:asciiTheme="minorEastAsia" w:hAnsiTheme="minorEastAsia" w:eastAsiaTheme="minorEastAsia" w:cstheme="minorEastAsia"/>
          <w:color w:val="auto"/>
          <w:sz w:val="28"/>
          <w:szCs w:val="28"/>
          <w:highlight w:val="none"/>
          <w:u w:val="none"/>
          <w:lang w:val="en-US" w:eastAsia="zh-CN"/>
        </w:rPr>
        <w:t>花卉苗木</w:t>
      </w:r>
      <w:r>
        <w:rPr>
          <w:rFonts w:hint="eastAsia" w:asciiTheme="minorEastAsia" w:hAnsiTheme="minorEastAsia" w:eastAsiaTheme="minorEastAsia" w:cstheme="minorEastAsia"/>
          <w:b w:val="0"/>
          <w:bCs w:val="0"/>
          <w:color w:val="auto"/>
          <w:sz w:val="28"/>
          <w:szCs w:val="28"/>
          <w:highlight w:val="none"/>
          <w:u w:val="none"/>
        </w:rPr>
        <w:t>须具备土球完好、植株健康、冠形完整、无病虫害等要求；现场验收时</w:t>
      </w:r>
      <w:r>
        <w:rPr>
          <w:rFonts w:hint="eastAsia" w:asciiTheme="minorEastAsia" w:hAnsiTheme="minorEastAsia" w:eastAsiaTheme="minorEastAsia" w:cstheme="minorEastAsia"/>
          <w:color w:val="auto"/>
          <w:sz w:val="28"/>
          <w:szCs w:val="28"/>
          <w:highlight w:val="none"/>
          <w:u w:val="none"/>
          <w:lang w:val="en-US" w:eastAsia="zh-CN"/>
        </w:rPr>
        <w:t>花卉苗木</w:t>
      </w:r>
      <w:r>
        <w:rPr>
          <w:rFonts w:hint="eastAsia" w:asciiTheme="minorEastAsia" w:hAnsiTheme="minorEastAsia" w:eastAsiaTheme="minorEastAsia" w:cstheme="minorEastAsia"/>
          <w:b w:val="0"/>
          <w:bCs w:val="0"/>
          <w:color w:val="auto"/>
          <w:sz w:val="28"/>
          <w:szCs w:val="28"/>
          <w:highlight w:val="none"/>
          <w:u w:val="none"/>
        </w:rPr>
        <w:t>存活率须达到100%，满足采购人下达的《采购清单》要求，且符合相关规定。</w:t>
      </w:r>
    </w:p>
    <w:p w14:paraId="21094B6B">
      <w:pPr>
        <w:pageBreakBefore w:val="0"/>
        <w:widowControl w:val="0"/>
        <w:kinsoku/>
        <w:wordWrap/>
        <w:overflowPunct/>
        <w:topLinePunct w:val="0"/>
        <w:bidi w:val="0"/>
        <w:snapToGrid/>
        <w:spacing w:line="52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5.</w:t>
      </w:r>
      <w:r>
        <w:rPr>
          <w:rFonts w:hint="eastAsia" w:asciiTheme="minorEastAsia" w:hAnsiTheme="minorEastAsia" w:eastAsiaTheme="minorEastAsia" w:cstheme="minorEastAsia"/>
          <w:sz w:val="28"/>
          <w:szCs w:val="28"/>
        </w:rPr>
        <w:t>售后服务：​</w:t>
      </w:r>
    </w:p>
    <w:p w14:paraId="6C17C6EB">
      <w:pPr>
        <w:pageBreakBefore w:val="0"/>
        <w:widowControl w:val="0"/>
        <w:kinsoku/>
        <w:wordWrap/>
        <w:overflowPunct/>
        <w:topLinePunct w:val="0"/>
        <w:bidi w:val="0"/>
        <w:snapToGrid/>
        <w:spacing w:line="52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如果运输过程中因事故造成货物短缺、损坏，成交供应商应及时安排换装并承担相应开销，确保供货成功完成。如在验收过程中，出现需要协调的时候，由采购人组织的协调小组进行协调。</w:t>
      </w:r>
    </w:p>
    <w:p w14:paraId="54163A18">
      <w:pPr>
        <w:pStyle w:val="32"/>
        <w:ind w:firstLine="840" w:firstLineChars="30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sz w:val="28"/>
          <w:szCs w:val="28"/>
        </w:rPr>
        <w:t>在验收过程中，若到场的货物包装破损，时花、种苗、及苗木成品的质量、数量或规格与对应供货清单不符,则视为不合格，成交供应商必须在5天内完成更换处理，并由成交供应商承担相应费用。否则视为未送达。</w:t>
      </w:r>
    </w:p>
    <w:p w14:paraId="3521D072">
      <w:pPr>
        <w:rPr>
          <w:rFonts w:hint="default" w:ascii="华文中宋" w:hAnsi="华文中宋" w:eastAsia="华文中宋"/>
          <w:lang w:val="en-US" w:eastAsia="zh-CN"/>
        </w:rPr>
      </w:pPr>
      <w:bookmarkStart w:id="0" w:name="_GoBack"/>
      <w:bookmarkEnd w:id="0"/>
    </w:p>
    <w:sectPr>
      <w:footerReference r:id="rId3" w:type="default"/>
      <w:pgSz w:w="11906" w:h="16838"/>
      <w:pgMar w:top="1417" w:right="1276" w:bottom="1276" w:left="1417" w:header="851" w:footer="663" w:gutter="0"/>
      <w:pgNumType w:fmt="decimal"/>
      <w:cols w:space="0" w:num="1"/>
      <w:rtlGutter w:val="0"/>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华文中宋">
    <w:altName w:val="宋体"/>
    <w:panose1 w:val="02010600040101010101"/>
    <w:charset w:val="86"/>
    <w:family w:val="auto"/>
    <w:pitch w:val="default"/>
    <w:sig w:usb0="00000000" w:usb1="00000000" w:usb2="00000000" w:usb3="00000000" w:csb0="0004009F" w:csb1="DFD70000"/>
  </w:font>
  <w:font w:name="Comic Sans MS">
    <w:panose1 w:val="030F0702030302020204"/>
    <w:charset w:val="00"/>
    <w:family w:val="script"/>
    <w:pitch w:val="default"/>
    <w:sig w:usb0="00000287" w:usb1="00000013" w:usb2="00000000" w:usb3="00000000" w:csb0="2000009F" w:csb1="00000000"/>
  </w:font>
  <w:font w:name="Arial Unicode MS">
    <w:altName w:val="宋体"/>
    <w:panose1 w:val="020B0604020202020204"/>
    <w:charset w:val="86"/>
    <w:family w:val="roman"/>
    <w:pitch w:val="default"/>
    <w:sig w:usb0="00000000" w:usb1="00000000"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FF0005">
    <w:pPr>
      <w:pStyle w:val="11"/>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79705" cy="114935"/>
              <wp:effectExtent l="0" t="0" r="0" b="0"/>
              <wp:wrapNone/>
              <wp:docPr id="2" name="文本框 2"/>
              <wp:cNvGraphicFramePr/>
              <a:graphic xmlns:a="http://schemas.openxmlformats.org/drawingml/2006/main">
                <a:graphicData uri="http://schemas.microsoft.com/office/word/2010/wordprocessingShape">
                  <wps:wsp>
                    <wps:cNvSpPr txBox="1"/>
                    <wps:spPr>
                      <a:xfrm>
                        <a:off x="0" y="0"/>
                        <a:ext cx="179705" cy="11493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23432B4">
                          <w:pPr>
                            <w:pStyle w:val="1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0pt;height:9.05pt;width:14.15pt;mso-position-horizontal:center;mso-position-horizontal-relative:margin;z-index:251659264;mso-width-relative:page;mso-height-relative:page;" filled="f" stroked="f" coordsize="21600,21600" o:gfxdata="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I4tFPTSAAAAAwEAAA8AAAAAAAAAAQAgAAAAIgAAAGRycy9kb3ducmV2Lnht&#10;bFBLAQIUABQAAAAIAIdO4kAtosfSOAIAAGEEAAAOAAAAAAAAAAEAIAAAACEBAABkcnMvZTJvRG9j&#10;LnhtbFBLBQYAAAAABgAGAFkBAADLBQAAAAA=&#10;">
              <v:fill on="f" focussize="0,0"/>
              <v:stroke on="f" weight="0.5pt"/>
              <v:imagedata o:title=""/>
              <o:lock v:ext="edit" aspectratio="f"/>
              <v:textbox inset="0mm,0mm,0mm,0mm">
                <w:txbxContent>
                  <w:p w14:paraId="123432B4">
                    <w:pPr>
                      <w:pStyle w:val="11"/>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5"/>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76D0"/>
    <w:rsid w:val="0000284E"/>
    <w:rsid w:val="000066F7"/>
    <w:rsid w:val="00010521"/>
    <w:rsid w:val="000171A6"/>
    <w:rsid w:val="00023304"/>
    <w:rsid w:val="00025177"/>
    <w:rsid w:val="00025615"/>
    <w:rsid w:val="000307D3"/>
    <w:rsid w:val="00046006"/>
    <w:rsid w:val="000540CC"/>
    <w:rsid w:val="00055161"/>
    <w:rsid w:val="00062075"/>
    <w:rsid w:val="0006410D"/>
    <w:rsid w:val="00070404"/>
    <w:rsid w:val="000728C5"/>
    <w:rsid w:val="00077700"/>
    <w:rsid w:val="00083495"/>
    <w:rsid w:val="000A2242"/>
    <w:rsid w:val="000A5AEF"/>
    <w:rsid w:val="000B0050"/>
    <w:rsid w:val="000C3FC7"/>
    <w:rsid w:val="000D3423"/>
    <w:rsid w:val="000D52A2"/>
    <w:rsid w:val="000F186A"/>
    <w:rsid w:val="000F54EF"/>
    <w:rsid w:val="00103401"/>
    <w:rsid w:val="00103874"/>
    <w:rsid w:val="001114FE"/>
    <w:rsid w:val="0011195F"/>
    <w:rsid w:val="0011647D"/>
    <w:rsid w:val="001254AC"/>
    <w:rsid w:val="0013309C"/>
    <w:rsid w:val="00140E72"/>
    <w:rsid w:val="00154D99"/>
    <w:rsid w:val="00160A20"/>
    <w:rsid w:val="00162006"/>
    <w:rsid w:val="00165C2C"/>
    <w:rsid w:val="00166DFA"/>
    <w:rsid w:val="00171DF9"/>
    <w:rsid w:val="00175784"/>
    <w:rsid w:val="00186CAD"/>
    <w:rsid w:val="001915A4"/>
    <w:rsid w:val="001B2DC6"/>
    <w:rsid w:val="001B7ACA"/>
    <w:rsid w:val="001C085D"/>
    <w:rsid w:val="001E11F8"/>
    <w:rsid w:val="001E4BE6"/>
    <w:rsid w:val="001F572F"/>
    <w:rsid w:val="001F5B1D"/>
    <w:rsid w:val="0021091D"/>
    <w:rsid w:val="002216DD"/>
    <w:rsid w:val="00222711"/>
    <w:rsid w:val="002449A2"/>
    <w:rsid w:val="00250767"/>
    <w:rsid w:val="00253C1F"/>
    <w:rsid w:val="00260033"/>
    <w:rsid w:val="00264816"/>
    <w:rsid w:val="00265325"/>
    <w:rsid w:val="00274E80"/>
    <w:rsid w:val="00277B47"/>
    <w:rsid w:val="0028134B"/>
    <w:rsid w:val="00282CDC"/>
    <w:rsid w:val="00282F07"/>
    <w:rsid w:val="0028423B"/>
    <w:rsid w:val="00294776"/>
    <w:rsid w:val="002A1861"/>
    <w:rsid w:val="002B142A"/>
    <w:rsid w:val="002B3E24"/>
    <w:rsid w:val="002B5775"/>
    <w:rsid w:val="002C291D"/>
    <w:rsid w:val="002C7E56"/>
    <w:rsid w:val="002D60E1"/>
    <w:rsid w:val="002D6596"/>
    <w:rsid w:val="003009B4"/>
    <w:rsid w:val="00302CF2"/>
    <w:rsid w:val="00305ECB"/>
    <w:rsid w:val="0030655F"/>
    <w:rsid w:val="00311AA2"/>
    <w:rsid w:val="00321723"/>
    <w:rsid w:val="003260EA"/>
    <w:rsid w:val="00334105"/>
    <w:rsid w:val="0034298E"/>
    <w:rsid w:val="00353ABE"/>
    <w:rsid w:val="00365007"/>
    <w:rsid w:val="003651F5"/>
    <w:rsid w:val="00374731"/>
    <w:rsid w:val="003809D2"/>
    <w:rsid w:val="00396C8F"/>
    <w:rsid w:val="003C0F78"/>
    <w:rsid w:val="003D1B05"/>
    <w:rsid w:val="003F03A4"/>
    <w:rsid w:val="0041266F"/>
    <w:rsid w:val="0042594E"/>
    <w:rsid w:val="00430DD5"/>
    <w:rsid w:val="004333BA"/>
    <w:rsid w:val="00441743"/>
    <w:rsid w:val="004432A3"/>
    <w:rsid w:val="00443741"/>
    <w:rsid w:val="00443B19"/>
    <w:rsid w:val="00460D6D"/>
    <w:rsid w:val="00463BCC"/>
    <w:rsid w:val="00471B26"/>
    <w:rsid w:val="00474995"/>
    <w:rsid w:val="0048230F"/>
    <w:rsid w:val="004A2A36"/>
    <w:rsid w:val="004A3734"/>
    <w:rsid w:val="004A48D8"/>
    <w:rsid w:val="004C3D3D"/>
    <w:rsid w:val="004D178A"/>
    <w:rsid w:val="004E2141"/>
    <w:rsid w:val="004E21C5"/>
    <w:rsid w:val="004E4B22"/>
    <w:rsid w:val="004E4C5F"/>
    <w:rsid w:val="004E6252"/>
    <w:rsid w:val="004E7F0E"/>
    <w:rsid w:val="004F34A4"/>
    <w:rsid w:val="00502114"/>
    <w:rsid w:val="005027DC"/>
    <w:rsid w:val="00505DAE"/>
    <w:rsid w:val="00511E13"/>
    <w:rsid w:val="005149DB"/>
    <w:rsid w:val="00516AD9"/>
    <w:rsid w:val="00521A33"/>
    <w:rsid w:val="00530900"/>
    <w:rsid w:val="005477D3"/>
    <w:rsid w:val="00581AA7"/>
    <w:rsid w:val="005907CA"/>
    <w:rsid w:val="0059504C"/>
    <w:rsid w:val="00597ED7"/>
    <w:rsid w:val="005A0D03"/>
    <w:rsid w:val="005A1403"/>
    <w:rsid w:val="005B1CA2"/>
    <w:rsid w:val="005D0D06"/>
    <w:rsid w:val="005E312B"/>
    <w:rsid w:val="005E4141"/>
    <w:rsid w:val="005E6C60"/>
    <w:rsid w:val="005F6133"/>
    <w:rsid w:val="005F6C06"/>
    <w:rsid w:val="00601F89"/>
    <w:rsid w:val="00613B8F"/>
    <w:rsid w:val="00620C47"/>
    <w:rsid w:val="00634FB4"/>
    <w:rsid w:val="00636F90"/>
    <w:rsid w:val="00645695"/>
    <w:rsid w:val="006558DD"/>
    <w:rsid w:val="00682ACA"/>
    <w:rsid w:val="00683A19"/>
    <w:rsid w:val="006A1E9F"/>
    <w:rsid w:val="006C4EDC"/>
    <w:rsid w:val="006D04EF"/>
    <w:rsid w:val="006E6F0F"/>
    <w:rsid w:val="006E7FD5"/>
    <w:rsid w:val="006F5B4F"/>
    <w:rsid w:val="00715FA1"/>
    <w:rsid w:val="00725A3C"/>
    <w:rsid w:val="007268B2"/>
    <w:rsid w:val="007502D9"/>
    <w:rsid w:val="0075124E"/>
    <w:rsid w:val="0076572D"/>
    <w:rsid w:val="00770EB4"/>
    <w:rsid w:val="00780D82"/>
    <w:rsid w:val="007A6B22"/>
    <w:rsid w:val="007A7255"/>
    <w:rsid w:val="007C71BA"/>
    <w:rsid w:val="007D1238"/>
    <w:rsid w:val="007D1551"/>
    <w:rsid w:val="007D4E79"/>
    <w:rsid w:val="007D54AC"/>
    <w:rsid w:val="007F1894"/>
    <w:rsid w:val="007F6521"/>
    <w:rsid w:val="0081515D"/>
    <w:rsid w:val="00821316"/>
    <w:rsid w:val="00833249"/>
    <w:rsid w:val="008378BF"/>
    <w:rsid w:val="008445E6"/>
    <w:rsid w:val="00847D85"/>
    <w:rsid w:val="00855C23"/>
    <w:rsid w:val="00861821"/>
    <w:rsid w:val="00866CF0"/>
    <w:rsid w:val="00867C31"/>
    <w:rsid w:val="008742F6"/>
    <w:rsid w:val="00882979"/>
    <w:rsid w:val="00883AF0"/>
    <w:rsid w:val="00884046"/>
    <w:rsid w:val="00894C21"/>
    <w:rsid w:val="008B1590"/>
    <w:rsid w:val="008C1993"/>
    <w:rsid w:val="008C4F57"/>
    <w:rsid w:val="008C6622"/>
    <w:rsid w:val="008E4D8A"/>
    <w:rsid w:val="00902587"/>
    <w:rsid w:val="0090515B"/>
    <w:rsid w:val="00916001"/>
    <w:rsid w:val="009201E0"/>
    <w:rsid w:val="00920934"/>
    <w:rsid w:val="00920DCC"/>
    <w:rsid w:val="00921799"/>
    <w:rsid w:val="00931448"/>
    <w:rsid w:val="009346EF"/>
    <w:rsid w:val="00935E13"/>
    <w:rsid w:val="00962743"/>
    <w:rsid w:val="009654E9"/>
    <w:rsid w:val="00972E2D"/>
    <w:rsid w:val="0097336E"/>
    <w:rsid w:val="00981559"/>
    <w:rsid w:val="009878E1"/>
    <w:rsid w:val="009A1CF0"/>
    <w:rsid w:val="009A763E"/>
    <w:rsid w:val="009B6A51"/>
    <w:rsid w:val="009B7479"/>
    <w:rsid w:val="009D4123"/>
    <w:rsid w:val="009E4C62"/>
    <w:rsid w:val="009F5424"/>
    <w:rsid w:val="009F5DBB"/>
    <w:rsid w:val="009F6734"/>
    <w:rsid w:val="00A05363"/>
    <w:rsid w:val="00A13D5B"/>
    <w:rsid w:val="00A23F32"/>
    <w:rsid w:val="00A37159"/>
    <w:rsid w:val="00A47CBD"/>
    <w:rsid w:val="00A53E09"/>
    <w:rsid w:val="00A62DD6"/>
    <w:rsid w:val="00A67594"/>
    <w:rsid w:val="00A67F40"/>
    <w:rsid w:val="00A70E5A"/>
    <w:rsid w:val="00A75E82"/>
    <w:rsid w:val="00A80C9A"/>
    <w:rsid w:val="00A84442"/>
    <w:rsid w:val="00AA0D01"/>
    <w:rsid w:val="00AB4849"/>
    <w:rsid w:val="00AC2227"/>
    <w:rsid w:val="00AC72F1"/>
    <w:rsid w:val="00AC7710"/>
    <w:rsid w:val="00AD603E"/>
    <w:rsid w:val="00AE6119"/>
    <w:rsid w:val="00AF772D"/>
    <w:rsid w:val="00AF7F74"/>
    <w:rsid w:val="00B0786A"/>
    <w:rsid w:val="00B14D86"/>
    <w:rsid w:val="00B4632C"/>
    <w:rsid w:val="00B5775C"/>
    <w:rsid w:val="00B614FF"/>
    <w:rsid w:val="00B7573A"/>
    <w:rsid w:val="00B76734"/>
    <w:rsid w:val="00B86B37"/>
    <w:rsid w:val="00B92662"/>
    <w:rsid w:val="00BA57A4"/>
    <w:rsid w:val="00BA7C11"/>
    <w:rsid w:val="00BB10DA"/>
    <w:rsid w:val="00BB7D39"/>
    <w:rsid w:val="00BC31E0"/>
    <w:rsid w:val="00BD0224"/>
    <w:rsid w:val="00BE21D7"/>
    <w:rsid w:val="00BF0D4A"/>
    <w:rsid w:val="00BF0E13"/>
    <w:rsid w:val="00BF11FF"/>
    <w:rsid w:val="00BF4D7B"/>
    <w:rsid w:val="00BF7284"/>
    <w:rsid w:val="00BF7D9B"/>
    <w:rsid w:val="00C037F1"/>
    <w:rsid w:val="00C153A8"/>
    <w:rsid w:val="00C170C5"/>
    <w:rsid w:val="00C27EC8"/>
    <w:rsid w:val="00C32A8A"/>
    <w:rsid w:val="00C34FB5"/>
    <w:rsid w:val="00C36414"/>
    <w:rsid w:val="00C4446F"/>
    <w:rsid w:val="00C55C7C"/>
    <w:rsid w:val="00C56BE8"/>
    <w:rsid w:val="00C64D5C"/>
    <w:rsid w:val="00C66DDB"/>
    <w:rsid w:val="00C71360"/>
    <w:rsid w:val="00C7137D"/>
    <w:rsid w:val="00C83C5C"/>
    <w:rsid w:val="00C8787A"/>
    <w:rsid w:val="00CA53B9"/>
    <w:rsid w:val="00CB4296"/>
    <w:rsid w:val="00CB5B34"/>
    <w:rsid w:val="00CB60A9"/>
    <w:rsid w:val="00CC6DFF"/>
    <w:rsid w:val="00CD047D"/>
    <w:rsid w:val="00CE0EAA"/>
    <w:rsid w:val="00CE35C7"/>
    <w:rsid w:val="00CE4E47"/>
    <w:rsid w:val="00CF79CC"/>
    <w:rsid w:val="00D04583"/>
    <w:rsid w:val="00D06D1C"/>
    <w:rsid w:val="00D1016D"/>
    <w:rsid w:val="00D345BD"/>
    <w:rsid w:val="00D34785"/>
    <w:rsid w:val="00D60703"/>
    <w:rsid w:val="00D63132"/>
    <w:rsid w:val="00D73143"/>
    <w:rsid w:val="00D7772F"/>
    <w:rsid w:val="00D778B0"/>
    <w:rsid w:val="00D851CF"/>
    <w:rsid w:val="00D927D6"/>
    <w:rsid w:val="00DB76D0"/>
    <w:rsid w:val="00DB7804"/>
    <w:rsid w:val="00DC4809"/>
    <w:rsid w:val="00DC73BA"/>
    <w:rsid w:val="00DD4E0D"/>
    <w:rsid w:val="00DD65CC"/>
    <w:rsid w:val="00DD785C"/>
    <w:rsid w:val="00DF2C8A"/>
    <w:rsid w:val="00E0461F"/>
    <w:rsid w:val="00E06AE5"/>
    <w:rsid w:val="00E2447B"/>
    <w:rsid w:val="00E26EF2"/>
    <w:rsid w:val="00E27ECB"/>
    <w:rsid w:val="00E30AD3"/>
    <w:rsid w:val="00E35673"/>
    <w:rsid w:val="00E37AA1"/>
    <w:rsid w:val="00E56011"/>
    <w:rsid w:val="00E65D45"/>
    <w:rsid w:val="00E750D7"/>
    <w:rsid w:val="00E75F03"/>
    <w:rsid w:val="00E76C7D"/>
    <w:rsid w:val="00E852CC"/>
    <w:rsid w:val="00EC308B"/>
    <w:rsid w:val="00EC6C27"/>
    <w:rsid w:val="00ED3D6D"/>
    <w:rsid w:val="00ED5E69"/>
    <w:rsid w:val="00EF1D80"/>
    <w:rsid w:val="00F05589"/>
    <w:rsid w:val="00F37B42"/>
    <w:rsid w:val="00F45581"/>
    <w:rsid w:val="00F54E46"/>
    <w:rsid w:val="00F55677"/>
    <w:rsid w:val="00F64EE2"/>
    <w:rsid w:val="00F805C3"/>
    <w:rsid w:val="00F85BE6"/>
    <w:rsid w:val="00F9492E"/>
    <w:rsid w:val="00F9653C"/>
    <w:rsid w:val="00FB274F"/>
    <w:rsid w:val="00FB6289"/>
    <w:rsid w:val="00FD1C87"/>
    <w:rsid w:val="00FD6E71"/>
    <w:rsid w:val="00FE25AE"/>
    <w:rsid w:val="00FF0E95"/>
    <w:rsid w:val="00FF591B"/>
    <w:rsid w:val="010E0584"/>
    <w:rsid w:val="01383AF3"/>
    <w:rsid w:val="03653EFA"/>
    <w:rsid w:val="038B022B"/>
    <w:rsid w:val="03A86AC5"/>
    <w:rsid w:val="04D1625D"/>
    <w:rsid w:val="055D54E7"/>
    <w:rsid w:val="05822021"/>
    <w:rsid w:val="061C715B"/>
    <w:rsid w:val="06AC4284"/>
    <w:rsid w:val="09896468"/>
    <w:rsid w:val="09AC6CF1"/>
    <w:rsid w:val="0ABC5428"/>
    <w:rsid w:val="0BD8017E"/>
    <w:rsid w:val="0E87566C"/>
    <w:rsid w:val="0F240322"/>
    <w:rsid w:val="1158509E"/>
    <w:rsid w:val="1497026D"/>
    <w:rsid w:val="14E46507"/>
    <w:rsid w:val="16297D66"/>
    <w:rsid w:val="16DB2490"/>
    <w:rsid w:val="16FE2244"/>
    <w:rsid w:val="17344DE4"/>
    <w:rsid w:val="179B7EB4"/>
    <w:rsid w:val="186A36C0"/>
    <w:rsid w:val="19124356"/>
    <w:rsid w:val="19A14C1F"/>
    <w:rsid w:val="1A8E7D82"/>
    <w:rsid w:val="1B1738D4"/>
    <w:rsid w:val="1BB1687E"/>
    <w:rsid w:val="1C2B185E"/>
    <w:rsid w:val="1C874A89"/>
    <w:rsid w:val="1CEC049A"/>
    <w:rsid w:val="1DF168C0"/>
    <w:rsid w:val="1EF851F2"/>
    <w:rsid w:val="1F8F5FAF"/>
    <w:rsid w:val="1FB778FC"/>
    <w:rsid w:val="20BD7970"/>
    <w:rsid w:val="20D05DB2"/>
    <w:rsid w:val="20F06D17"/>
    <w:rsid w:val="20FA470D"/>
    <w:rsid w:val="223137A7"/>
    <w:rsid w:val="2367766A"/>
    <w:rsid w:val="236819A8"/>
    <w:rsid w:val="244E28B6"/>
    <w:rsid w:val="27A87E6E"/>
    <w:rsid w:val="2A8077CD"/>
    <w:rsid w:val="2B106FAF"/>
    <w:rsid w:val="2B9B099A"/>
    <w:rsid w:val="2D115CD2"/>
    <w:rsid w:val="2D892A24"/>
    <w:rsid w:val="2DEF3EF8"/>
    <w:rsid w:val="2E285745"/>
    <w:rsid w:val="2F7C41F6"/>
    <w:rsid w:val="30CA52E9"/>
    <w:rsid w:val="34211293"/>
    <w:rsid w:val="347A51A8"/>
    <w:rsid w:val="38FE5354"/>
    <w:rsid w:val="39607F31"/>
    <w:rsid w:val="3A550975"/>
    <w:rsid w:val="3AE57D2D"/>
    <w:rsid w:val="3B235C9E"/>
    <w:rsid w:val="3CC527C1"/>
    <w:rsid w:val="3CE73FFB"/>
    <w:rsid w:val="40D814C3"/>
    <w:rsid w:val="41043CE4"/>
    <w:rsid w:val="414A7CB0"/>
    <w:rsid w:val="41AC2A51"/>
    <w:rsid w:val="42B671D5"/>
    <w:rsid w:val="489F5BDF"/>
    <w:rsid w:val="48B41B3C"/>
    <w:rsid w:val="4B9F6E4A"/>
    <w:rsid w:val="4BC62629"/>
    <w:rsid w:val="4C480BC5"/>
    <w:rsid w:val="4D311ADB"/>
    <w:rsid w:val="4F6D4491"/>
    <w:rsid w:val="4FBA5638"/>
    <w:rsid w:val="52B7608C"/>
    <w:rsid w:val="534740C2"/>
    <w:rsid w:val="540B7771"/>
    <w:rsid w:val="57096DD9"/>
    <w:rsid w:val="57F33918"/>
    <w:rsid w:val="58186F97"/>
    <w:rsid w:val="5DEF61CF"/>
    <w:rsid w:val="5E6E2D65"/>
    <w:rsid w:val="5F5F6D6A"/>
    <w:rsid w:val="5FC16FA8"/>
    <w:rsid w:val="60866BC3"/>
    <w:rsid w:val="620174D7"/>
    <w:rsid w:val="62842D4E"/>
    <w:rsid w:val="63417E63"/>
    <w:rsid w:val="64E01F91"/>
    <w:rsid w:val="64F61535"/>
    <w:rsid w:val="65C74E59"/>
    <w:rsid w:val="666E3CFC"/>
    <w:rsid w:val="679A383B"/>
    <w:rsid w:val="68562439"/>
    <w:rsid w:val="68624CAF"/>
    <w:rsid w:val="696F5806"/>
    <w:rsid w:val="6B95189C"/>
    <w:rsid w:val="6D8D6C01"/>
    <w:rsid w:val="6F173018"/>
    <w:rsid w:val="703B2D36"/>
    <w:rsid w:val="70E66A6F"/>
    <w:rsid w:val="712727F0"/>
    <w:rsid w:val="715C0F73"/>
    <w:rsid w:val="71E534AD"/>
    <w:rsid w:val="724F1412"/>
    <w:rsid w:val="737230F7"/>
    <w:rsid w:val="74597B59"/>
    <w:rsid w:val="75853A5B"/>
    <w:rsid w:val="75F406CA"/>
    <w:rsid w:val="760442A1"/>
    <w:rsid w:val="76167048"/>
    <w:rsid w:val="764566BC"/>
    <w:rsid w:val="765D6045"/>
    <w:rsid w:val="77512E3F"/>
    <w:rsid w:val="78B65A6F"/>
    <w:rsid w:val="7D2266D4"/>
    <w:rsid w:val="7D85447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5" w:lineRule="auto"/>
      <w:outlineLvl w:val="1"/>
    </w:pPr>
    <w:rPr>
      <w:rFonts w:ascii="Arial" w:hAnsi="Arial" w:eastAsia="黑体" w:cs="Arial"/>
      <w:b/>
      <w:bCs/>
      <w:sz w:val="32"/>
      <w:szCs w:val="32"/>
    </w:rPr>
  </w:style>
  <w:style w:type="paragraph" w:styleId="4">
    <w:name w:val="heading 3"/>
    <w:basedOn w:val="1"/>
    <w:next w:val="1"/>
    <w:semiHidden/>
    <w:unhideWhenUsed/>
    <w:qFormat/>
    <w:uiPriority w:val="9"/>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link w:val="29"/>
    <w:semiHidden/>
    <w:unhideWhenUsed/>
    <w:qFormat/>
    <w:uiPriority w:val="99"/>
    <w:pPr>
      <w:jc w:val="left"/>
    </w:pPr>
  </w:style>
  <w:style w:type="paragraph" w:styleId="6">
    <w:name w:val="Body Text"/>
    <w:basedOn w:val="1"/>
    <w:next w:val="1"/>
    <w:qFormat/>
    <w:uiPriority w:val="0"/>
    <w:pPr>
      <w:keepNext w:val="0"/>
      <w:keepLines w:val="0"/>
      <w:widowControl w:val="0"/>
      <w:suppressLineNumbers w:val="0"/>
      <w:spacing w:before="0" w:beforeAutospacing="0" w:after="0" w:afterAutospacing="0"/>
      <w:ind w:left="0" w:right="0"/>
      <w:jc w:val="center"/>
    </w:pPr>
    <w:rPr>
      <w:rFonts w:hint="default" w:ascii="Times New Roman" w:hAnsi="Times New Roman" w:eastAsia="宋体" w:cs="Times New Roman"/>
      <w:kern w:val="2"/>
      <w:sz w:val="28"/>
      <w:szCs w:val="20"/>
      <w:lang w:val="en-US" w:eastAsia="zh-CN" w:bidi="ar"/>
    </w:rPr>
  </w:style>
  <w:style w:type="paragraph" w:styleId="7">
    <w:name w:val="Body Text Indent"/>
    <w:basedOn w:val="1"/>
    <w:qFormat/>
    <w:uiPriority w:val="0"/>
    <w:pPr>
      <w:spacing w:after="120" w:afterLines="0" w:afterAutospacing="0"/>
      <w:ind w:left="420" w:leftChars="200"/>
    </w:pPr>
  </w:style>
  <w:style w:type="paragraph" w:styleId="8">
    <w:name w:val="Plain Text"/>
    <w:basedOn w:val="1"/>
    <w:qFormat/>
    <w:uiPriority w:val="0"/>
    <w:rPr>
      <w:rFonts w:ascii="宋体" w:hAnsi="Courier New" w:eastAsiaTheme="minorEastAsia" w:cstheme="minorBidi"/>
      <w:szCs w:val="22"/>
    </w:rPr>
  </w:style>
  <w:style w:type="paragraph" w:styleId="9">
    <w:name w:val="Date"/>
    <w:basedOn w:val="1"/>
    <w:next w:val="1"/>
    <w:link w:val="28"/>
    <w:semiHidden/>
    <w:unhideWhenUsed/>
    <w:qFormat/>
    <w:uiPriority w:val="99"/>
    <w:pPr>
      <w:ind w:left="100" w:leftChars="2500"/>
    </w:pPr>
  </w:style>
  <w:style w:type="paragraph" w:styleId="10">
    <w:name w:val="Balloon Text"/>
    <w:basedOn w:val="1"/>
    <w:link w:val="27"/>
    <w:semiHidden/>
    <w:unhideWhenUsed/>
    <w:qFormat/>
    <w:uiPriority w:val="99"/>
    <w:rPr>
      <w:sz w:val="18"/>
      <w:szCs w:val="18"/>
    </w:rPr>
  </w:style>
  <w:style w:type="paragraph" w:styleId="11">
    <w:name w:val="footer"/>
    <w:basedOn w:val="1"/>
    <w:link w:val="26"/>
    <w:unhideWhenUsed/>
    <w:qFormat/>
    <w:uiPriority w:val="99"/>
    <w:pPr>
      <w:tabs>
        <w:tab w:val="center" w:pos="4153"/>
        <w:tab w:val="right" w:pos="8306"/>
      </w:tabs>
      <w:snapToGrid w:val="0"/>
      <w:jc w:val="left"/>
    </w:pPr>
    <w:rPr>
      <w:sz w:val="18"/>
      <w:szCs w:val="18"/>
    </w:rPr>
  </w:style>
  <w:style w:type="paragraph" w:styleId="12">
    <w:name w:val="header"/>
    <w:basedOn w:val="1"/>
    <w:link w:val="25"/>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Body Text Indent 3"/>
    <w:basedOn w:val="1"/>
    <w:qFormat/>
    <w:uiPriority w:val="0"/>
    <w:pPr>
      <w:spacing w:line="360" w:lineRule="auto"/>
      <w:ind w:firstLine="480" w:firstLineChars="200"/>
    </w:pPr>
    <w:rPr>
      <w:rFonts w:ascii="宋体" w:hAnsi="宋体"/>
      <w:sz w:val="24"/>
    </w:rPr>
  </w:style>
  <w:style w:type="paragraph" w:styleId="14">
    <w:name w:val="toc 2"/>
    <w:basedOn w:val="1"/>
    <w:next w:val="1"/>
    <w:unhideWhenUsed/>
    <w:qFormat/>
    <w:uiPriority w:val="39"/>
    <w:pPr>
      <w:widowControl/>
      <w:spacing w:after="100" w:line="259" w:lineRule="auto"/>
      <w:ind w:left="220"/>
      <w:jc w:val="left"/>
    </w:pPr>
    <w:rPr>
      <w:rFonts w:asciiTheme="minorHAnsi" w:hAnsiTheme="minorHAnsi" w:eastAsiaTheme="minorEastAsia"/>
      <w:kern w:val="0"/>
      <w:sz w:val="22"/>
      <w:szCs w:val="22"/>
    </w:rPr>
  </w:style>
  <w:style w:type="paragraph" w:styleId="15">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paragraph" w:styleId="16">
    <w:name w:val="annotation subject"/>
    <w:basedOn w:val="5"/>
    <w:next w:val="5"/>
    <w:link w:val="30"/>
    <w:semiHidden/>
    <w:unhideWhenUsed/>
    <w:qFormat/>
    <w:uiPriority w:val="99"/>
    <w:rPr>
      <w:b/>
      <w:bCs/>
    </w:rPr>
  </w:style>
  <w:style w:type="paragraph" w:styleId="17">
    <w:name w:val="Body Text First Indent"/>
    <w:basedOn w:val="6"/>
    <w:qFormat/>
    <w:uiPriority w:val="0"/>
    <w:pPr>
      <w:keepNext w:val="0"/>
      <w:keepLines w:val="0"/>
      <w:widowControl w:val="0"/>
      <w:suppressLineNumbers w:val="0"/>
      <w:spacing w:before="0" w:beforeAutospacing="0" w:after="0" w:afterAutospacing="0"/>
      <w:ind w:left="0" w:right="0" w:firstLine="420"/>
      <w:jc w:val="center"/>
    </w:pPr>
    <w:rPr>
      <w:rFonts w:hint="default" w:ascii="Times New Roman" w:hAnsi="Times New Roman" w:eastAsia="宋体" w:cs="Times New Roman"/>
      <w:kern w:val="2"/>
      <w:sz w:val="28"/>
      <w:szCs w:val="20"/>
      <w:lang w:val="en-US" w:eastAsia="zh-CN" w:bidi="ar"/>
    </w:rPr>
  </w:style>
  <w:style w:type="paragraph" w:styleId="18">
    <w:name w:val="Body Text First Indent 2"/>
    <w:basedOn w:val="7"/>
    <w:qFormat/>
    <w:uiPriority w:val="0"/>
    <w:pPr>
      <w:ind w:firstLine="420" w:firstLineChars="200"/>
    </w:pPr>
  </w:style>
  <w:style w:type="table" w:styleId="20">
    <w:name w:val="Table Grid"/>
    <w:basedOn w:val="19"/>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Strong"/>
    <w:basedOn w:val="21"/>
    <w:qFormat/>
    <w:uiPriority w:val="22"/>
    <w:rPr>
      <w:b/>
    </w:rPr>
  </w:style>
  <w:style w:type="character" w:styleId="23">
    <w:name w:val="annotation reference"/>
    <w:basedOn w:val="21"/>
    <w:semiHidden/>
    <w:unhideWhenUsed/>
    <w:qFormat/>
    <w:uiPriority w:val="99"/>
    <w:rPr>
      <w:sz w:val="21"/>
      <w:szCs w:val="21"/>
    </w:rPr>
  </w:style>
  <w:style w:type="paragraph" w:styleId="24">
    <w:name w:val="List Paragraph"/>
    <w:basedOn w:val="1"/>
    <w:qFormat/>
    <w:uiPriority w:val="34"/>
    <w:pPr>
      <w:ind w:firstLine="420" w:firstLineChars="200"/>
    </w:pPr>
  </w:style>
  <w:style w:type="character" w:customStyle="1" w:styleId="25">
    <w:name w:val="页眉 Char"/>
    <w:basedOn w:val="21"/>
    <w:link w:val="12"/>
    <w:qFormat/>
    <w:uiPriority w:val="99"/>
    <w:rPr>
      <w:rFonts w:ascii="Calibri" w:hAnsi="Calibri" w:eastAsia="宋体" w:cs="Times New Roman"/>
      <w:sz w:val="18"/>
      <w:szCs w:val="18"/>
    </w:rPr>
  </w:style>
  <w:style w:type="character" w:customStyle="1" w:styleId="26">
    <w:name w:val="页脚 Char"/>
    <w:basedOn w:val="21"/>
    <w:link w:val="11"/>
    <w:qFormat/>
    <w:uiPriority w:val="99"/>
    <w:rPr>
      <w:rFonts w:ascii="Calibri" w:hAnsi="Calibri" w:eastAsia="宋体" w:cs="Times New Roman"/>
      <w:sz w:val="18"/>
      <w:szCs w:val="18"/>
    </w:rPr>
  </w:style>
  <w:style w:type="character" w:customStyle="1" w:styleId="27">
    <w:name w:val="批注框文本 Char"/>
    <w:basedOn w:val="21"/>
    <w:link w:val="10"/>
    <w:semiHidden/>
    <w:qFormat/>
    <w:uiPriority w:val="99"/>
    <w:rPr>
      <w:rFonts w:ascii="Calibri" w:hAnsi="Calibri" w:eastAsia="宋体" w:cs="Times New Roman"/>
      <w:sz w:val="18"/>
      <w:szCs w:val="18"/>
    </w:rPr>
  </w:style>
  <w:style w:type="character" w:customStyle="1" w:styleId="28">
    <w:name w:val="日期 Char"/>
    <w:basedOn w:val="21"/>
    <w:link w:val="9"/>
    <w:semiHidden/>
    <w:qFormat/>
    <w:uiPriority w:val="99"/>
    <w:rPr>
      <w:rFonts w:ascii="Calibri" w:hAnsi="Calibri" w:eastAsia="宋体" w:cs="Times New Roman"/>
    </w:rPr>
  </w:style>
  <w:style w:type="character" w:customStyle="1" w:styleId="29">
    <w:name w:val="批注文字 Char"/>
    <w:basedOn w:val="21"/>
    <w:link w:val="5"/>
    <w:semiHidden/>
    <w:qFormat/>
    <w:uiPriority w:val="99"/>
    <w:rPr>
      <w:rFonts w:ascii="Calibri" w:hAnsi="Calibri" w:eastAsia="宋体" w:cs="Times New Roman"/>
    </w:rPr>
  </w:style>
  <w:style w:type="character" w:customStyle="1" w:styleId="30">
    <w:name w:val="批注主题 Char"/>
    <w:basedOn w:val="29"/>
    <w:link w:val="16"/>
    <w:semiHidden/>
    <w:qFormat/>
    <w:uiPriority w:val="99"/>
    <w:rPr>
      <w:rFonts w:ascii="Calibri" w:hAnsi="Calibri" w:eastAsia="宋体" w:cs="Times New Roman"/>
      <w:b/>
      <w:bCs/>
    </w:rPr>
  </w:style>
  <w:style w:type="paragraph" w:customStyle="1" w:styleId="31">
    <w:name w:val="null3"/>
    <w:hidden/>
    <w:qFormat/>
    <w:uiPriority w:val="0"/>
    <w:rPr>
      <w:rFonts w:hint="eastAsia" w:asciiTheme="minorHAnsi" w:hAnsiTheme="minorHAnsi" w:eastAsiaTheme="minorEastAsia" w:cstheme="minorBidi"/>
      <w:lang w:val="en-US" w:eastAsia="zh-Hans"/>
    </w:rPr>
  </w:style>
  <w:style w:type="paragraph" w:customStyle="1" w:styleId="32">
    <w:name w:val="_Style 3"/>
    <w:next w:val="13"/>
    <w:qFormat/>
    <w:uiPriority w:val="0"/>
    <w:pPr>
      <w:widowControl w:val="0"/>
      <w:jc w:val="both"/>
    </w:pPr>
    <w:rPr>
      <w:rFonts w:ascii="Calibri" w:hAnsi="Calibri" w:eastAsia="宋体" w:cs="Times New Roman"/>
      <w:kern w:val="2"/>
      <w:sz w:val="21"/>
      <w:szCs w:val="22"/>
      <w:lang w:val="en-US" w:eastAsia="zh-CN" w:bidi="ar-SA"/>
    </w:rPr>
  </w:style>
  <w:style w:type="paragraph" w:customStyle="1" w:styleId="33">
    <w:name w:val="章节三"/>
    <w:basedOn w:val="34"/>
    <w:next w:val="34"/>
    <w:qFormat/>
    <w:uiPriority w:val="0"/>
    <w:pPr>
      <w:keepNext w:val="0"/>
      <w:keepLines w:val="0"/>
      <w:widowControl w:val="0"/>
      <w:suppressLineNumbers w:val="0"/>
      <w:topLinePunct/>
      <w:adjustRightInd w:val="0"/>
      <w:snapToGrid w:val="0"/>
      <w:spacing w:before="156" w:beforeLines="50" w:beforeAutospacing="0" w:after="156" w:afterLines="50" w:afterAutospacing="0" w:line="240" w:lineRule="auto"/>
      <w:ind w:left="0" w:right="0" w:firstLine="0" w:firstLineChars="0"/>
      <w:jc w:val="left"/>
      <w:outlineLvl w:val="2"/>
    </w:pPr>
    <w:rPr>
      <w:rFonts w:hint="eastAsia" w:ascii="黑体" w:hAnsi="宋体" w:eastAsia="黑体" w:cs="Times New Roman"/>
      <w:b/>
      <w:snapToGrid/>
      <w:spacing w:val="4"/>
      <w:kern w:val="0"/>
      <w:sz w:val="24"/>
      <w:szCs w:val="24"/>
      <w:lang w:val="en-US" w:eastAsia="zh-CN" w:bidi="ar"/>
    </w:rPr>
  </w:style>
  <w:style w:type="paragraph" w:customStyle="1" w:styleId="34">
    <w:name w:val="文一"/>
    <w:basedOn w:val="1"/>
    <w:qFormat/>
    <w:uiPriority w:val="0"/>
    <w:pPr>
      <w:keepNext w:val="0"/>
      <w:keepLines w:val="0"/>
      <w:widowControl w:val="0"/>
      <w:suppressLineNumbers w:val="0"/>
      <w:topLinePunct/>
      <w:adjustRightInd w:val="0"/>
      <w:snapToGrid w:val="0"/>
      <w:spacing w:before="0" w:beforeAutospacing="0" w:after="0" w:afterAutospacing="0" w:line="360" w:lineRule="auto"/>
      <w:ind w:left="0" w:right="0" w:firstLine="200" w:firstLineChars="200"/>
      <w:jc w:val="both"/>
    </w:pPr>
    <w:rPr>
      <w:rFonts w:hint="default" w:ascii="Times New Roman" w:hAnsi="Times New Roman" w:eastAsia="宋体" w:cs="Times New Roman"/>
      <w:spacing w:val="4"/>
      <w:kern w:val="0"/>
      <w:sz w:val="24"/>
      <w:szCs w:val="24"/>
      <w:lang w:val="en-US" w:eastAsia="zh-CN" w:bidi="ar"/>
    </w:rPr>
  </w:style>
  <w:style w:type="paragraph" w:customStyle="1" w:styleId="35">
    <w:name w:val="封二"/>
    <w:basedOn w:val="34"/>
    <w:next w:val="34"/>
    <w:qFormat/>
    <w:uiPriority w:val="0"/>
    <w:pPr>
      <w:keepNext w:val="0"/>
      <w:keepLines w:val="0"/>
      <w:widowControl w:val="0"/>
      <w:suppressLineNumbers w:val="0"/>
      <w:topLinePunct/>
      <w:adjustRightInd w:val="0"/>
      <w:snapToGrid w:val="0"/>
      <w:spacing w:before="0" w:beforeAutospacing="0" w:after="0" w:afterAutospacing="0" w:line="360" w:lineRule="auto"/>
      <w:ind w:left="0" w:right="0" w:firstLine="0" w:firstLineChars="0"/>
      <w:jc w:val="center"/>
    </w:pPr>
    <w:rPr>
      <w:rFonts w:hint="default" w:ascii="Times New Roman" w:hAnsi="Times New Roman" w:eastAsia="黑体" w:cs="Times New Roman"/>
      <w:b/>
      <w:snapToGrid/>
      <w:spacing w:val="4"/>
      <w:kern w:val="0"/>
      <w:sz w:val="36"/>
      <w:szCs w:val="36"/>
      <w:lang w:val="en-US" w:eastAsia="zh-CN" w:bidi="ar"/>
    </w:rPr>
  </w:style>
  <w:style w:type="paragraph" w:customStyle="1" w:styleId="36">
    <w:name w:val="封一"/>
    <w:basedOn w:val="34"/>
    <w:next w:val="34"/>
    <w:qFormat/>
    <w:uiPriority w:val="0"/>
    <w:pPr>
      <w:keepNext w:val="0"/>
      <w:keepLines w:val="0"/>
      <w:widowControl w:val="0"/>
      <w:suppressLineNumbers w:val="0"/>
      <w:topLinePunct/>
      <w:adjustRightInd w:val="0"/>
      <w:snapToGrid w:val="0"/>
      <w:spacing w:before="0" w:beforeAutospacing="0" w:after="0" w:afterAutospacing="0" w:line="360" w:lineRule="auto"/>
      <w:ind w:left="0" w:right="0" w:firstLine="0" w:firstLineChars="0"/>
      <w:jc w:val="center"/>
    </w:pPr>
    <w:rPr>
      <w:rFonts w:hint="default" w:ascii="Times New Roman" w:hAnsi="Times New Roman" w:eastAsia="黑体" w:cs="Times New Roman"/>
      <w:b/>
      <w:snapToGrid/>
      <w:spacing w:val="4"/>
      <w:kern w:val="0"/>
      <w:sz w:val="84"/>
      <w:szCs w:val="84"/>
      <w:lang w:val="en-US" w:eastAsia="zh-CN" w:bidi="ar"/>
    </w:rPr>
  </w:style>
  <w:style w:type="paragraph" w:customStyle="1" w:styleId="37">
    <w:name w:val="封四"/>
    <w:basedOn w:val="34"/>
    <w:next w:val="34"/>
    <w:qFormat/>
    <w:uiPriority w:val="0"/>
    <w:pPr>
      <w:keepNext w:val="0"/>
      <w:keepLines w:val="0"/>
      <w:widowControl w:val="0"/>
      <w:suppressLineNumbers w:val="0"/>
      <w:topLinePunct/>
      <w:adjustRightInd w:val="0"/>
      <w:snapToGrid w:val="0"/>
      <w:spacing w:before="0" w:beforeAutospacing="0" w:after="0" w:afterAutospacing="0" w:line="360" w:lineRule="auto"/>
      <w:ind w:left="0" w:right="0" w:firstLine="200" w:firstLineChars="200"/>
      <w:jc w:val="left"/>
    </w:pPr>
    <w:rPr>
      <w:rFonts w:hint="default" w:ascii="Times New Roman" w:hAnsi="Times New Roman" w:eastAsia="宋体" w:cs="Times New Roman"/>
      <w:snapToGrid/>
      <w:spacing w:val="4"/>
      <w:kern w:val="0"/>
      <w:sz w:val="30"/>
      <w:szCs w:val="30"/>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微软公司</Company>
  <Pages>4</Pages>
  <Words>4947</Words>
  <Characters>5269</Characters>
  <Lines>16</Lines>
  <Paragraphs>4</Paragraphs>
  <TotalTime>4</TotalTime>
  <ScaleCrop>false</ScaleCrop>
  <LinksUpToDate>false</LinksUpToDate>
  <CharactersWithSpaces>5789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2018-08-25T06:07:00Z</dcterms:created>
  <dc:creator>李家辉</dc:creator>
  <cp:lastModifiedBy>冇解</cp:lastModifiedBy>
  <cp:lastPrinted>2025-09-23T02:05:00Z</cp:lastPrinted>
  <dcterms:modified xsi:type="dcterms:W3CDTF">2025-09-23T02:11:08Z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eyJoZGlkIjoiNGZlOTIxMzVhMWU4NzIxMGRlN2FmNzljYmNjOGE0MDYiLCJ1c2VySWQiOiIzMzQ5NDk4NDIifQ==</vt:lpwstr>
  </property>
  <property fmtid="{D5CDD505-2E9C-101B-9397-08002B2CF9AE}" pid="4" name="ICV">
    <vt:lpwstr>DA36C91B743247A6886AECB8E4ABD504_13</vt:lpwstr>
  </property>
</Properties>
</file>