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855" w:type="dxa"/>
        <w:tblInd w:w="-760" w:type="dxa"/>
        <w:tblLayout w:type="fixed"/>
        <w:tblCellMar>
          <w:top w:w="0" w:type="dxa"/>
          <w:left w:w="0" w:type="dxa"/>
          <w:bottom w:w="0" w:type="dxa"/>
          <w:right w:w="0" w:type="dxa"/>
        </w:tblCellMar>
      </w:tblPr>
      <w:tblGrid>
        <w:gridCol w:w="204"/>
        <w:gridCol w:w="608"/>
        <w:gridCol w:w="203"/>
        <w:gridCol w:w="3575"/>
        <w:gridCol w:w="474"/>
        <w:gridCol w:w="1056"/>
        <w:gridCol w:w="390"/>
        <w:gridCol w:w="1462"/>
        <w:gridCol w:w="1973"/>
        <w:gridCol w:w="102"/>
        <w:gridCol w:w="963"/>
        <w:gridCol w:w="2115"/>
        <w:gridCol w:w="2730"/>
      </w:tblGrid>
      <w:tr>
        <w:tblPrEx>
          <w:tblLayout w:type="fixed"/>
          <w:tblCellMar>
            <w:top w:w="0" w:type="dxa"/>
            <w:left w:w="0" w:type="dxa"/>
            <w:bottom w:w="0" w:type="dxa"/>
            <w:right w:w="0" w:type="dxa"/>
          </w:tblCellMar>
        </w:tblPrEx>
        <w:trPr>
          <w:trHeight w:val="375" w:hRule="atLeast"/>
        </w:trPr>
        <w:tc>
          <w:tcPr>
            <w:tcW w:w="812"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附件</w:t>
            </w:r>
            <w:r>
              <w:rPr>
                <w:rFonts w:hint="eastAsia" w:ascii="仿宋" w:hAnsi="仿宋" w:eastAsia="仿宋" w:cs="仿宋"/>
                <w:color w:val="000000"/>
                <w:kern w:val="0"/>
                <w:sz w:val="28"/>
                <w:szCs w:val="28"/>
                <w:lang w:val="en-US" w:eastAsia="zh-CN" w:bidi="ar"/>
              </w:rPr>
              <w:t>1</w:t>
            </w:r>
          </w:p>
        </w:tc>
        <w:tc>
          <w:tcPr>
            <w:tcW w:w="3778" w:type="dxa"/>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1530" w:type="dxa"/>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3825" w:type="dxa"/>
            <w:gridSpan w:val="3"/>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1065" w:type="dxa"/>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2115" w:type="dxa"/>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2730" w:type="dxa"/>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570" w:hRule="atLeast"/>
        </w:trPr>
        <w:tc>
          <w:tcPr>
            <w:tcW w:w="9843" w:type="dxa"/>
            <w:gridSpan w:val="9"/>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广州市林业和园林科学研究院合格供应商库自动失效供应商名单</w:t>
            </w:r>
          </w:p>
          <w:p>
            <w:pPr>
              <w:jc w:val="left"/>
              <w:rPr>
                <w:rFonts w:hint="eastAsia" w:ascii="宋体" w:hAnsi="宋体" w:cs="宋体"/>
                <w:sz w:val="28"/>
                <w:szCs w:val="28"/>
                <w:lang w:val="en-US" w:eastAsia="zh-CN"/>
              </w:rPr>
            </w:pPr>
          </w:p>
          <w:p>
            <w:p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根据</w:t>
            </w:r>
            <w:r>
              <w:rPr>
                <w:rFonts w:hint="eastAsia" w:ascii="宋体" w:hAnsi="宋体" w:cs="宋体"/>
                <w:sz w:val="28"/>
                <w:szCs w:val="28"/>
              </w:rPr>
              <w:t>合格供应商库的更新原则</w:t>
            </w:r>
            <w:r>
              <w:rPr>
                <w:rFonts w:hint="eastAsia" w:ascii="宋体" w:hAnsi="宋体" w:cs="宋体"/>
                <w:sz w:val="28"/>
                <w:szCs w:val="28"/>
                <w:lang w:eastAsia="zh-CN"/>
              </w:rPr>
              <w:t>，</w:t>
            </w:r>
            <w:r>
              <w:rPr>
                <w:rFonts w:hint="eastAsia" w:ascii="宋体" w:hAnsi="宋体" w:cs="宋体"/>
                <w:sz w:val="28"/>
                <w:szCs w:val="28"/>
                <w:lang w:val="en-US" w:eastAsia="zh-CN"/>
              </w:rPr>
              <w:t>以下单位将自动失去下一周期的合格供应商资格且不接受参与下一周期的入库申请。</w:t>
            </w:r>
          </w:p>
          <w:p>
            <w:p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更新原则：</w:t>
            </w:r>
          </w:p>
          <w:p>
            <w:p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1.近两个周期均无供货或者提供服务的，则自动失去下一周期的合格供应商资格且不接受参与下一周期的入库申请。</w:t>
            </w:r>
          </w:p>
          <w:p>
            <w:p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2.在有效期内，库内供应商已办理注销登记的，自注销之日起自动失去合格供应商资格。</w:t>
            </w:r>
          </w:p>
          <w:p>
            <w:pPr>
              <w:ind w:firstLine="560" w:firstLineChars="200"/>
              <w:jc w:val="left"/>
              <w:rPr>
                <w:rFonts w:hint="eastAsia" w:ascii="宋体" w:hAnsi="宋体" w:cs="宋体"/>
                <w:sz w:val="28"/>
                <w:szCs w:val="28"/>
                <w:lang w:val="en-US" w:eastAsia="zh-CN"/>
              </w:rPr>
            </w:pPr>
            <w:bookmarkStart w:id="0" w:name="_GoBack"/>
            <w:bookmarkEnd w:id="0"/>
          </w:p>
          <w:p>
            <w:pPr>
              <w:jc w:val="center"/>
              <w:rPr>
                <w:rFonts w:hint="default" w:ascii="方正小标宋简体" w:hAnsi="方正小标宋简体" w:eastAsia="方正小标宋简体" w:cs="方正小标宋简体"/>
                <w:i w:val="0"/>
                <w:color w:val="000000"/>
                <w:sz w:val="44"/>
                <w:szCs w:val="44"/>
                <w:u w:val="none"/>
                <w:lang w:val="en-US"/>
              </w:rPr>
            </w:pPr>
            <w:r>
              <w:rPr>
                <w:rFonts w:hint="eastAsia" w:ascii="方正小标宋简体" w:hAnsi="方正小标宋简体" w:eastAsia="方正小标宋简体" w:cs="方正小标宋简体"/>
                <w:i w:val="0"/>
                <w:color w:val="000000"/>
                <w:kern w:val="0"/>
                <w:sz w:val="40"/>
                <w:szCs w:val="40"/>
                <w:u w:val="none"/>
                <w:lang w:val="en-US" w:eastAsia="zh-CN" w:bidi="ar"/>
              </w:rPr>
              <w:t>失效供应商名单</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460" w:hRule="atLeast"/>
        </w:trPr>
        <w:tc>
          <w:tcPr>
            <w:tcW w:w="8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40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供应商名称</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近两期评价情况</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备注</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460" w:hRule="atLeast"/>
        </w:trPr>
        <w:tc>
          <w:tcPr>
            <w:tcW w:w="8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c>
          <w:tcPr>
            <w:tcW w:w="40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上周期评价</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本周期评价</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519" w:hRule="atLeast"/>
        </w:trPr>
        <w:tc>
          <w:tcPr>
            <w:tcW w:w="984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苗木库</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397" w:hRule="atLeast"/>
        </w:trPr>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广州市升力园艺有限公司</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自动失效</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397" w:hRule="atLeast"/>
        </w:trPr>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佛山市南海区白红花木场</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自动失效</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397" w:hRule="atLeast"/>
        </w:trPr>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广州华大锦兰花卉有限公司</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自动失效</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500" w:hRule="atLeast"/>
        </w:trPr>
        <w:tc>
          <w:tcPr>
            <w:tcW w:w="984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主要种植材料库</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397" w:hRule="atLeast"/>
        </w:trPr>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广州市海发园林种植有限公司</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自动失效</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500" w:hRule="atLeast"/>
        </w:trPr>
        <w:tc>
          <w:tcPr>
            <w:tcW w:w="984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主要设施材料库</w:t>
            </w:r>
          </w:p>
        </w:tc>
      </w:tr>
      <w:tr>
        <w:tblPrEx>
          <w:shd w:val="clear" w:color="auto" w:fill="auto"/>
          <w:tblLayout w:type="fixed"/>
          <w:tblCellMar>
            <w:top w:w="0" w:type="dxa"/>
            <w:left w:w="0" w:type="dxa"/>
            <w:bottom w:w="0" w:type="dxa"/>
            <w:right w:w="0" w:type="dxa"/>
          </w:tblCellMar>
        </w:tblPrEx>
        <w:trPr>
          <w:gridBefore w:val="1"/>
          <w:gridAfter w:val="3"/>
          <w:wBefore w:w="204" w:type="dxa"/>
          <w:wAfter w:w="5808" w:type="dxa"/>
          <w:trHeight w:val="397" w:hRule="atLeast"/>
        </w:trPr>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广州粤美园林用品有限公司</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自动失效</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77328"/>
    <w:rsid w:val="054864B9"/>
    <w:rsid w:val="36103467"/>
    <w:rsid w:val="377B2688"/>
    <w:rsid w:val="48A802A3"/>
    <w:rsid w:val="4FF11C3F"/>
    <w:rsid w:val="549A08B0"/>
    <w:rsid w:val="5C675C37"/>
    <w:rsid w:val="67AD1BE3"/>
    <w:rsid w:val="7557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2021-02-24T06:59:00Z</dcterms:created>
  <dc:creator>MSI</dc:creator>
  <cp:lastModifiedBy>pope</cp:lastModifiedBy>
  <dcterms:modified xsi:type="dcterms:W3CDTF">2021-03-02T01:15:57Z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